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lang w:val="en-US" w:eastAsia="zh-CN"/>
              </w:rPr>
              <w:t>5</w:t>
            </w:r>
            <w:r>
              <w:rPr>
                <w:rFonts w:eastAsia="宋体"/>
                <w:sz w:val="24"/>
              </w:rPr>
              <w:t>-</w:t>
            </w:r>
            <w:r>
              <w:rPr>
                <w:rFonts w:hint="eastAsia" w:eastAsia="宋体"/>
                <w:sz w:val="24"/>
                <w:lang w:val="en-US" w:eastAsia="zh-CN"/>
              </w:rPr>
              <w:t>015</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eastAsia="宋体"/>
          <w:b/>
          <w:sz w:val="36"/>
          <w:szCs w:val="36"/>
        </w:rPr>
        <w:t>第十届董事会第</w:t>
      </w:r>
      <w:r>
        <w:rPr>
          <w:rFonts w:hint="eastAsia" w:eastAsia="宋体"/>
          <w:b/>
          <w:sz w:val="36"/>
          <w:szCs w:val="36"/>
          <w:lang w:val="en-US" w:eastAsia="zh-CN"/>
        </w:rPr>
        <w:t>二</w:t>
      </w:r>
      <w:r>
        <w:rPr>
          <w:rFonts w:hint="eastAsia" w:eastAsia="宋体"/>
          <w:b/>
          <w:sz w:val="36"/>
          <w:szCs w:val="36"/>
        </w:rPr>
        <w:t>十</w:t>
      </w:r>
      <w:r>
        <w:rPr>
          <w:rFonts w:hint="eastAsia" w:eastAsia="宋体"/>
          <w:b/>
          <w:sz w:val="36"/>
          <w:szCs w:val="36"/>
          <w:lang w:val="en-US" w:eastAsia="zh-CN"/>
        </w:rPr>
        <w:t>六</w:t>
      </w:r>
      <w:r>
        <w:rPr>
          <w:rFonts w:eastAsia="宋体"/>
          <w:b/>
          <w:sz w:val="36"/>
          <w:szCs w:val="36"/>
        </w:rPr>
        <w:t>次会议决议公告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eastAsia="宋体"/>
          <w:b/>
          <w:sz w:val="24"/>
          <w:szCs w:val="24"/>
        </w:rPr>
      </w:pPr>
      <w:r>
        <w:rPr>
          <w:rFonts w:eastAsia="宋体"/>
          <w:b/>
          <w:sz w:val="24"/>
          <w:szCs w:val="24"/>
        </w:rPr>
        <w:t>一、董事会会议召开情况</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1</w:t>
      </w:r>
      <w:r>
        <w:rPr>
          <w:rFonts w:hint="eastAsia" w:eastAsia="宋体"/>
          <w:sz w:val="24"/>
          <w:szCs w:val="24"/>
          <w:lang w:eastAsia="zh-CN"/>
        </w:rPr>
        <w:t>.</w:t>
      </w:r>
      <w:r>
        <w:rPr>
          <w:rFonts w:hint="eastAsia" w:eastAsia="宋体"/>
          <w:sz w:val="24"/>
          <w:szCs w:val="24"/>
        </w:rPr>
        <w:t>中广核核技术发展股份有限公司（以下简称“公司”或“中广核技”）第十届董事会第</w:t>
      </w:r>
      <w:r>
        <w:rPr>
          <w:rFonts w:hint="eastAsia" w:eastAsia="宋体"/>
          <w:sz w:val="24"/>
          <w:szCs w:val="24"/>
          <w:lang w:val="en-US" w:eastAsia="zh-CN"/>
        </w:rPr>
        <w:t>二</w:t>
      </w:r>
      <w:r>
        <w:rPr>
          <w:rFonts w:hint="eastAsia" w:eastAsia="宋体"/>
          <w:sz w:val="24"/>
          <w:szCs w:val="24"/>
        </w:rPr>
        <w:t>十</w:t>
      </w:r>
      <w:r>
        <w:rPr>
          <w:rFonts w:hint="eastAsia" w:eastAsia="宋体"/>
          <w:sz w:val="24"/>
          <w:szCs w:val="24"/>
          <w:lang w:val="en-US" w:eastAsia="zh-CN"/>
        </w:rPr>
        <w:t>六</w:t>
      </w:r>
      <w:r>
        <w:rPr>
          <w:rFonts w:hint="eastAsia" w:eastAsia="宋体"/>
          <w:sz w:val="24"/>
          <w:szCs w:val="24"/>
        </w:rPr>
        <w:t>次会议（以下简称“本次会议”）通知于202</w:t>
      </w:r>
      <w:r>
        <w:rPr>
          <w:rFonts w:hint="eastAsia" w:eastAsia="宋体"/>
          <w:sz w:val="24"/>
          <w:szCs w:val="24"/>
          <w:lang w:val="en-US" w:eastAsia="zh-CN"/>
        </w:rPr>
        <w:t>5</w:t>
      </w:r>
      <w:r>
        <w:rPr>
          <w:rFonts w:hint="eastAsia" w:eastAsia="宋体"/>
          <w:sz w:val="24"/>
          <w:szCs w:val="24"/>
        </w:rPr>
        <w:t>年4月15日以电子邮件形式发出。</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2</w:t>
      </w:r>
      <w:r>
        <w:rPr>
          <w:rFonts w:hint="eastAsia" w:eastAsia="宋体"/>
          <w:sz w:val="24"/>
          <w:szCs w:val="24"/>
          <w:lang w:eastAsia="zh-CN"/>
        </w:rPr>
        <w:t>.</w:t>
      </w:r>
      <w:r>
        <w:rPr>
          <w:rFonts w:hint="eastAsia" w:eastAsia="宋体"/>
          <w:sz w:val="24"/>
          <w:szCs w:val="24"/>
        </w:rPr>
        <w:t>本次会议于202</w:t>
      </w:r>
      <w:r>
        <w:rPr>
          <w:rFonts w:hint="eastAsia" w:eastAsia="宋体"/>
          <w:sz w:val="24"/>
          <w:szCs w:val="24"/>
          <w:lang w:val="en-US" w:eastAsia="zh-CN"/>
        </w:rPr>
        <w:t>5</w:t>
      </w:r>
      <w:r>
        <w:rPr>
          <w:rFonts w:hint="eastAsia" w:eastAsia="宋体"/>
          <w:sz w:val="24"/>
          <w:szCs w:val="24"/>
        </w:rPr>
        <w:t>年4月25日上午9:00在深圳市福田区深南大道2002号中广核大厦北楼19层881会议室以现场及通讯表决相结合的方式召开。</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3</w:t>
      </w:r>
      <w:r>
        <w:rPr>
          <w:rFonts w:hint="eastAsia" w:eastAsia="宋体"/>
          <w:sz w:val="24"/>
          <w:szCs w:val="24"/>
          <w:lang w:eastAsia="zh-CN"/>
        </w:rPr>
        <w:t>.</w:t>
      </w:r>
      <w:r>
        <w:rPr>
          <w:rFonts w:hint="eastAsia" w:eastAsia="宋体"/>
          <w:sz w:val="24"/>
          <w:szCs w:val="24"/>
        </w:rPr>
        <w:t>本次会议应出席董事9名，实际出席董事9名，其中，董事何飞</w:t>
      </w:r>
      <w:r>
        <w:rPr>
          <w:rFonts w:hint="eastAsia" w:eastAsia="宋体"/>
          <w:sz w:val="24"/>
          <w:szCs w:val="24"/>
          <w:lang w:eastAsia="zh-CN"/>
        </w:rPr>
        <w:t>、</w:t>
      </w:r>
      <w:r>
        <w:rPr>
          <w:rFonts w:hint="eastAsia" w:eastAsia="宋体"/>
          <w:sz w:val="24"/>
          <w:szCs w:val="24"/>
          <w:lang w:val="en-US" w:eastAsia="zh-CN"/>
        </w:rPr>
        <w:t>独立董事</w:t>
      </w:r>
      <w:r>
        <w:rPr>
          <w:rFonts w:hint="eastAsia" w:eastAsia="宋体"/>
          <w:sz w:val="24"/>
          <w:szCs w:val="24"/>
        </w:rPr>
        <w:t>黄晓延以视频方式出席会议，其他董事</w:t>
      </w:r>
      <w:r>
        <w:rPr>
          <w:rFonts w:hint="eastAsia" w:eastAsia="宋体"/>
          <w:sz w:val="24"/>
          <w:szCs w:val="24"/>
          <w:lang w:val="en-US" w:eastAsia="zh-CN"/>
        </w:rPr>
        <w:t>现场</w:t>
      </w:r>
      <w:r>
        <w:rPr>
          <w:rFonts w:hint="eastAsia" w:eastAsia="宋体"/>
          <w:sz w:val="24"/>
          <w:szCs w:val="24"/>
        </w:rPr>
        <w:t>参加会议。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4.本次会议由公司代董事长、总经理盛国福先生召集并主持。公司</w:t>
      </w:r>
      <w:r>
        <w:rPr>
          <w:rFonts w:hint="eastAsia" w:eastAsia="宋体"/>
          <w:sz w:val="24"/>
          <w:szCs w:val="24"/>
          <w:lang w:val="en-US" w:eastAsia="zh-CN"/>
        </w:rPr>
        <w:t>3名</w:t>
      </w:r>
      <w:r>
        <w:rPr>
          <w:rFonts w:hint="eastAsia" w:eastAsia="宋体"/>
          <w:sz w:val="24"/>
          <w:szCs w:val="24"/>
        </w:rPr>
        <w:t>监事、董事会秘书及部分高管人员列席会议。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5</w:t>
      </w:r>
      <w:r>
        <w:rPr>
          <w:rFonts w:hint="eastAsia" w:eastAsia="宋体"/>
          <w:sz w:val="24"/>
          <w:szCs w:val="24"/>
          <w:lang w:eastAsia="zh-CN"/>
        </w:rPr>
        <w:t>.</w:t>
      </w:r>
      <w:r>
        <w:rPr>
          <w:rFonts w:hint="eastAsia" w:eastAsia="宋体"/>
          <w:sz w:val="24"/>
          <w:szCs w:val="24"/>
        </w:rPr>
        <w:t>本次会议的召集、召开符合有关法律、行政法规、部门规章、规范性文件和《公司章程》的规定。</w:t>
      </w:r>
    </w:p>
    <w:p>
      <w:pPr>
        <w:adjustRightInd w:val="0"/>
        <w:snapToGrid w:val="0"/>
        <w:spacing w:line="360" w:lineRule="auto"/>
        <w:ind w:firstLine="482" w:firstLineChars="200"/>
        <w:outlineLvl w:val="0"/>
        <w:rPr>
          <w:rFonts w:eastAsia="宋体"/>
          <w:b/>
          <w:sz w:val="24"/>
          <w:szCs w:val="24"/>
        </w:rPr>
      </w:pPr>
      <w:r>
        <w:rPr>
          <w:rFonts w:eastAsia="宋体"/>
          <w:b/>
          <w:sz w:val="24"/>
          <w:szCs w:val="24"/>
        </w:rPr>
        <w:t>二、董事会会议审议情况</w:t>
      </w:r>
    </w:p>
    <w:p>
      <w:pPr>
        <w:adjustRightInd w:val="0"/>
        <w:snapToGrid w:val="0"/>
        <w:spacing w:line="360" w:lineRule="auto"/>
        <w:ind w:firstLine="480" w:firstLineChars="200"/>
        <w:rPr>
          <w:rFonts w:eastAsia="宋体"/>
          <w:sz w:val="24"/>
          <w:szCs w:val="24"/>
        </w:rPr>
      </w:pPr>
      <w:r>
        <w:rPr>
          <w:rFonts w:eastAsia="宋体"/>
          <w:sz w:val="24"/>
          <w:szCs w:val="24"/>
        </w:rPr>
        <w:t>经出席会议的董事审议和表决，本次会议形成以下决议：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审议通过《关于补选第十届董事会专门委员会委员的议案》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经审议，董事会同意补选于海峰先生担任公司第十届董事会战略委员会委员。</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审议通过《关于审批公司2024年度总经理工作报告的议案》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总经理</w:t>
      </w:r>
      <w:r>
        <w:rPr>
          <w:rFonts w:hint="default" w:ascii="Times New Roman" w:hAnsi="Times New Roman" w:eastAsia="宋体" w:cs="Times New Roman"/>
          <w:sz w:val="24"/>
          <w:szCs w:val="24"/>
          <w:highlight w:val="none"/>
          <w:lang w:val="en-US" w:eastAsia="zh-CN"/>
        </w:rPr>
        <w:t>盛国福</w:t>
      </w:r>
      <w:r>
        <w:rPr>
          <w:rFonts w:hint="default" w:ascii="Times New Roman" w:hAnsi="Times New Roman" w:eastAsia="宋体" w:cs="Times New Roman"/>
          <w:sz w:val="24"/>
          <w:szCs w:val="24"/>
          <w:highlight w:val="none"/>
        </w:rPr>
        <w:t>代表公司经营管理团队对202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年度工作进行了总结，并提出了202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年度的工作目标及计划。</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w:t>
      </w:r>
      <w:r>
        <w:rPr>
          <w:rFonts w:hint="default" w:ascii="Times New Roman" w:hAnsi="Times New Roman" w:eastAsia="宋体" w:cs="Times New Roman"/>
          <w:sz w:val="24"/>
          <w:szCs w:val="24"/>
          <w:highlight w:val="none"/>
          <w:lang w:val="en-US" w:eastAsia="zh-CN"/>
        </w:rPr>
        <w:t>公司</w:t>
      </w:r>
      <w:r>
        <w:rPr>
          <w:rFonts w:hint="default" w:ascii="Times New Roman" w:hAnsi="Times New Roman" w:eastAsia="宋体" w:cs="Times New Roman"/>
          <w:sz w:val="24"/>
          <w:szCs w:val="24"/>
          <w:highlight w:val="none"/>
        </w:rPr>
        <w:t>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年度总经理工作报告。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审议通过《关于审批公司2024年考核结果的议案》</w:t>
      </w:r>
    </w:p>
    <w:p>
      <w:pPr>
        <w:spacing w:line="360" w:lineRule="auto"/>
        <w:ind w:firstLine="480" w:firstLineChars="200"/>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sz w:val="24"/>
          <w:szCs w:val="24"/>
          <w:highlight w:val="none"/>
        </w:rPr>
        <w:t>根据《公司四类考核一体化管理制度》</w:t>
      </w:r>
      <w:r>
        <w:rPr>
          <w:rFonts w:hint="default" w:ascii="Times New Roman" w:hAnsi="Times New Roman" w:eastAsia="宋体" w:cs="Times New Roman"/>
          <w:sz w:val="24"/>
          <w:szCs w:val="24"/>
          <w:highlight w:val="none"/>
          <w:lang w:eastAsia="zh-CN"/>
        </w:rPr>
        <w:t>，为了保障公司战略规划、年度计划及各项工作目标的贯彻落实，提升经营管理效率，规范公司组织绩效管理，</w:t>
      </w:r>
      <w:r>
        <w:rPr>
          <w:rFonts w:hint="default" w:ascii="Times New Roman" w:hAnsi="Times New Roman" w:eastAsia="宋体" w:cs="Times New Roman"/>
          <w:sz w:val="24"/>
          <w:szCs w:val="24"/>
          <w:highlight w:val="none"/>
          <w:lang w:val="en-US" w:eastAsia="zh-CN"/>
        </w:rPr>
        <w:t>根据经董事会审批的2024年公司经营业绩考核指标</w:t>
      </w:r>
      <w:r>
        <w:rPr>
          <w:rFonts w:hint="default" w:ascii="Times New Roman" w:hAnsi="Times New Roman" w:eastAsia="宋体" w:cs="Times New Roman"/>
          <w:bCs/>
          <w:kern w:val="0"/>
          <w:sz w:val="24"/>
          <w:lang w:val="en-US" w:eastAsia="zh-CN"/>
        </w:rPr>
        <w:t>，董事会同意公司2024年考核结果。</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审议通过《关于审批公司高级管理人员2024年度业绩考核结果的议案》</w:t>
      </w:r>
    </w:p>
    <w:p>
      <w:pPr>
        <w:spacing w:line="360" w:lineRule="auto"/>
        <w:ind w:firstLine="480" w:firstLineChars="200"/>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Cs/>
          <w:kern w:val="0"/>
          <w:sz w:val="24"/>
          <w:lang w:val="en-US" w:eastAsia="zh-CN"/>
        </w:rPr>
        <w:t>经审议，董事会同意公司高级管理人员业绩考核结果。</w:t>
      </w:r>
      <w:bookmarkStart w:id="0" w:name="_GoBack"/>
      <w:bookmarkEnd w:id="0"/>
    </w:p>
    <w:p>
      <w:pPr>
        <w:spacing w:line="360" w:lineRule="auto"/>
        <w:ind w:firstLine="480" w:firstLineChars="200"/>
        <w:rPr>
          <w:rFonts w:hint="default" w:ascii="Times New Roman" w:hAnsi="Times New Roman" w:eastAsia="宋体" w:cs="Times New Roman"/>
          <w:bCs/>
          <w:kern w:val="0"/>
          <w:sz w:val="24"/>
          <w:highlight w:val="none"/>
          <w:lang w:val="en-US" w:eastAsia="zh-CN"/>
        </w:rPr>
      </w:pPr>
      <w:r>
        <w:rPr>
          <w:rFonts w:hint="default" w:ascii="Times New Roman" w:hAnsi="Times New Roman" w:eastAsia="宋体" w:cs="Times New Roman"/>
          <w:bCs/>
          <w:kern w:val="0"/>
          <w:sz w:val="24"/>
          <w:highlight w:val="none"/>
          <w:lang w:val="en-US" w:eastAsia="zh-CN"/>
        </w:rPr>
        <w:t>本议案已经第十届董事会薪酬委员会2025年第一次会议事前审议通过。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关联董事</w:t>
      </w:r>
      <w:r>
        <w:rPr>
          <w:rFonts w:hint="default" w:ascii="Times New Roman" w:hAnsi="Times New Roman" w:eastAsia="宋体" w:cs="Times New Roman"/>
          <w:sz w:val="24"/>
          <w:szCs w:val="24"/>
          <w:lang w:val="en-US" w:eastAsia="zh-CN"/>
        </w:rPr>
        <w:t>盛国福因任职总经理</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审议通过《关于审批公司高级管理人员</w:t>
      </w:r>
      <w:r>
        <w:rPr>
          <w:rFonts w:hint="default" w:ascii="Times New Roman" w:hAnsi="Times New Roman" w:eastAsia="宋体" w:cs="Times New Roman"/>
          <w:b/>
          <w:bCs w:val="0"/>
          <w:kern w:val="0"/>
          <w:sz w:val="24"/>
          <w:highlight w:val="none"/>
          <w:lang w:val="en-US" w:eastAsia="zh-CN"/>
        </w:rPr>
        <w:t>2025</w:t>
      </w:r>
      <w:r>
        <w:rPr>
          <w:rFonts w:hint="default" w:ascii="Times New Roman" w:hAnsi="Times New Roman" w:eastAsia="宋体" w:cs="Times New Roman"/>
          <w:b/>
          <w:sz w:val="24"/>
          <w:szCs w:val="24"/>
          <w:highlight w:val="none"/>
        </w:rPr>
        <w:t>年度薪酬方案的议案》</w:t>
      </w:r>
    </w:p>
    <w:p>
      <w:pPr>
        <w:spacing w:line="360" w:lineRule="auto"/>
        <w:ind w:firstLine="480" w:firstLineChars="200"/>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Cs/>
          <w:kern w:val="0"/>
          <w:sz w:val="24"/>
          <w:lang w:val="en-US" w:eastAsia="zh-CN"/>
        </w:rPr>
        <w:t>经审议，董事会同意公司高级管理人员</w:t>
      </w:r>
      <w:r>
        <w:rPr>
          <w:rFonts w:hint="default" w:ascii="Times New Roman" w:hAnsi="Times New Roman" w:eastAsia="宋体" w:cs="Times New Roman"/>
          <w:bCs/>
          <w:kern w:val="0"/>
          <w:sz w:val="24"/>
          <w:highlight w:val="none"/>
          <w:lang w:val="en-US" w:eastAsia="zh-CN"/>
        </w:rPr>
        <w:t>2025</w:t>
      </w:r>
      <w:r>
        <w:rPr>
          <w:rFonts w:hint="default" w:ascii="Times New Roman" w:hAnsi="Times New Roman" w:eastAsia="宋体" w:cs="Times New Roman"/>
          <w:bCs/>
          <w:kern w:val="0"/>
          <w:sz w:val="24"/>
          <w:lang w:val="en-US" w:eastAsia="zh-CN"/>
        </w:rPr>
        <w:t>年度薪酬方案。</w:t>
      </w:r>
    </w:p>
    <w:p>
      <w:pPr>
        <w:spacing w:line="360" w:lineRule="auto"/>
        <w:ind w:firstLine="480" w:firstLineChars="200"/>
        <w:rPr>
          <w:rFonts w:hint="default" w:ascii="Times New Roman" w:hAnsi="Times New Roman" w:eastAsia="宋体" w:cs="Times New Roman"/>
          <w:bCs/>
          <w:kern w:val="0"/>
          <w:sz w:val="24"/>
          <w:highlight w:val="none"/>
          <w:lang w:val="en-US" w:eastAsia="zh-CN"/>
        </w:rPr>
      </w:pPr>
      <w:r>
        <w:rPr>
          <w:rFonts w:hint="default" w:ascii="Times New Roman" w:hAnsi="Times New Roman" w:eastAsia="宋体" w:cs="Times New Roman"/>
          <w:bCs/>
          <w:kern w:val="0"/>
          <w:sz w:val="24"/>
          <w:highlight w:val="none"/>
          <w:lang w:val="en-US" w:eastAsia="zh-CN"/>
        </w:rPr>
        <w:t>本议案已经第十届董事会薪酬委员会2025年第一次会议事前审议通过。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关联董事</w:t>
      </w:r>
      <w:r>
        <w:rPr>
          <w:rFonts w:hint="default" w:ascii="Times New Roman" w:hAnsi="Times New Roman" w:eastAsia="宋体" w:cs="Times New Roman"/>
          <w:sz w:val="24"/>
          <w:szCs w:val="24"/>
          <w:lang w:val="en-US" w:eastAsia="zh-CN"/>
        </w:rPr>
        <w:t>盛国福因任职总经理</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6.</w:t>
      </w:r>
      <w:r>
        <w:rPr>
          <w:rFonts w:hint="default" w:ascii="Times New Roman" w:hAnsi="Times New Roman" w:eastAsia="宋体" w:cs="Times New Roman"/>
          <w:b/>
          <w:sz w:val="24"/>
          <w:szCs w:val="24"/>
          <w:highlight w:val="none"/>
        </w:rPr>
        <w:t>审议通过《关于审批公司</w:t>
      </w:r>
      <w:r>
        <w:rPr>
          <w:rFonts w:hint="default" w:ascii="Times New Roman" w:hAnsi="Times New Roman" w:eastAsia="宋体" w:cs="Times New Roman"/>
          <w:b/>
          <w:bCs w:val="0"/>
          <w:kern w:val="0"/>
          <w:sz w:val="24"/>
          <w:highlight w:val="none"/>
          <w:lang w:val="en-US" w:eastAsia="zh-CN"/>
        </w:rPr>
        <w:t>2024</w:t>
      </w:r>
      <w:r>
        <w:rPr>
          <w:rFonts w:hint="default" w:ascii="Times New Roman" w:hAnsi="Times New Roman" w:eastAsia="宋体" w:cs="Times New Roman"/>
          <w:b/>
          <w:sz w:val="24"/>
          <w:szCs w:val="24"/>
          <w:highlight w:val="none"/>
        </w:rPr>
        <w:t>年度内部审计工作报告及</w:t>
      </w:r>
      <w:r>
        <w:rPr>
          <w:rFonts w:hint="default" w:ascii="Times New Roman" w:hAnsi="Times New Roman" w:eastAsia="宋体" w:cs="Times New Roman"/>
          <w:b/>
          <w:bCs w:val="0"/>
          <w:kern w:val="0"/>
          <w:sz w:val="24"/>
          <w:highlight w:val="none"/>
          <w:lang w:val="en-US" w:eastAsia="zh-CN"/>
        </w:rPr>
        <w:t>2025</w:t>
      </w:r>
      <w:r>
        <w:rPr>
          <w:rFonts w:hint="default" w:ascii="Times New Roman" w:hAnsi="Times New Roman" w:eastAsia="宋体" w:cs="Times New Roman"/>
          <w:b/>
          <w:sz w:val="24"/>
          <w:szCs w:val="24"/>
          <w:highlight w:val="none"/>
        </w:rPr>
        <w:t>年度内部审计计划的议案》</w:t>
      </w:r>
    </w:p>
    <w:p>
      <w:pPr>
        <w:spacing w:line="360" w:lineRule="auto"/>
        <w:ind w:firstLine="480" w:firstLineChars="200"/>
        <w:rPr>
          <w:rFonts w:hint="default" w:ascii="Times New Roman" w:hAnsi="Times New Roman" w:eastAsia="宋体" w:cs="Times New Roman"/>
          <w:bCs/>
          <w:kern w:val="0"/>
          <w:sz w:val="24"/>
          <w:highlight w:val="none"/>
          <w:lang w:val="en-US" w:eastAsia="zh-CN"/>
        </w:rPr>
      </w:pPr>
      <w:r>
        <w:rPr>
          <w:rFonts w:hint="default" w:ascii="Times New Roman" w:hAnsi="Times New Roman" w:eastAsia="宋体" w:cs="Times New Roman"/>
          <w:sz w:val="24"/>
          <w:szCs w:val="24"/>
          <w:lang w:val="en-US" w:eastAsia="zh-CN"/>
        </w:rPr>
        <w:t>经审议，</w:t>
      </w:r>
      <w:r>
        <w:rPr>
          <w:rFonts w:hint="default" w:ascii="Times New Roman" w:hAnsi="Times New Roman" w:eastAsia="宋体" w:cs="Times New Roman"/>
          <w:bCs/>
          <w:kern w:val="0"/>
          <w:sz w:val="24"/>
          <w:highlight w:val="none"/>
          <w:lang w:val="en-US" w:eastAsia="zh-CN"/>
        </w:rPr>
        <w:t>董事会同意公司《2024年度内部审计工作报告及2025年度内部审计计划》。</w:t>
      </w:r>
    </w:p>
    <w:p>
      <w:pPr>
        <w:spacing w:line="360" w:lineRule="auto"/>
        <w:ind w:firstLine="480" w:firstLineChars="200"/>
        <w:rPr>
          <w:rFonts w:hint="default" w:ascii="Times New Roman" w:hAnsi="Times New Roman" w:eastAsia="宋体" w:cs="Times New Roman"/>
          <w:bCs/>
          <w:kern w:val="0"/>
          <w:sz w:val="24"/>
          <w:highlight w:val="none"/>
          <w:lang w:val="en-US" w:eastAsia="zh-CN"/>
        </w:rPr>
      </w:pPr>
      <w:r>
        <w:rPr>
          <w:rFonts w:hint="default" w:ascii="Times New Roman" w:hAnsi="Times New Roman" w:eastAsia="宋体" w:cs="Times New Roman"/>
          <w:bCs/>
          <w:kern w:val="0"/>
          <w:sz w:val="24"/>
          <w:highlight w:val="none"/>
          <w:lang w:val="en-US" w:eastAsia="zh-CN"/>
        </w:rPr>
        <w:t>本议案已经第十届董事会审计委员会2025年第二次会议事前审议通过。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7.</w:t>
      </w:r>
      <w:r>
        <w:rPr>
          <w:rFonts w:hint="default" w:ascii="Times New Roman" w:hAnsi="Times New Roman" w:eastAsia="宋体" w:cs="Times New Roman"/>
          <w:b/>
          <w:sz w:val="24"/>
          <w:szCs w:val="24"/>
          <w:highlight w:val="none"/>
        </w:rPr>
        <w:t>审议通过《关于审批公司</w:t>
      </w:r>
      <w:r>
        <w:rPr>
          <w:rFonts w:hint="default" w:ascii="Times New Roman" w:hAnsi="Times New Roman" w:eastAsia="宋体" w:cs="Times New Roman"/>
          <w:b/>
          <w:bCs w:val="0"/>
          <w:kern w:val="0"/>
          <w:sz w:val="24"/>
          <w:highlight w:val="none"/>
          <w:lang w:val="en-US" w:eastAsia="zh-CN"/>
        </w:rPr>
        <w:t>2024</w:t>
      </w:r>
      <w:r>
        <w:rPr>
          <w:rFonts w:hint="default" w:ascii="Times New Roman" w:hAnsi="Times New Roman" w:eastAsia="宋体" w:cs="Times New Roman"/>
          <w:b/>
          <w:sz w:val="24"/>
          <w:szCs w:val="24"/>
          <w:highlight w:val="none"/>
        </w:rPr>
        <w:t>年度内部控制评价与监督评价报告的议案》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w:t>
      </w:r>
      <w:r>
        <w:rPr>
          <w:rFonts w:hint="default" w:ascii="Times New Roman" w:hAnsi="Times New Roman" w:eastAsia="宋体" w:cs="Times New Roman"/>
          <w:bCs/>
          <w:kern w:val="0"/>
          <w:sz w:val="24"/>
          <w:highlight w:val="none"/>
          <w:lang w:val="en-US" w:eastAsia="zh-CN"/>
        </w:rPr>
        <w:t>2024</w:t>
      </w:r>
      <w:r>
        <w:rPr>
          <w:rFonts w:hint="default" w:ascii="Times New Roman" w:hAnsi="Times New Roman" w:eastAsia="宋体" w:cs="Times New Roman"/>
          <w:sz w:val="24"/>
          <w:szCs w:val="24"/>
          <w:highlight w:val="none"/>
        </w:rPr>
        <w:t>年度内部控制评价与监督评价报告》。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董事会认为，</w:t>
      </w:r>
      <w:r>
        <w:rPr>
          <w:rFonts w:hint="default" w:ascii="Times New Roman" w:hAnsi="Times New Roman" w:eastAsia="宋体" w:cs="Times New Roman"/>
          <w:bCs/>
          <w:kern w:val="0"/>
          <w:sz w:val="24"/>
          <w:highlight w:val="none"/>
        </w:rPr>
        <w:t>根据公司财务报告内部控制重大缺陷的认定</w:t>
      </w:r>
      <w:r>
        <w:rPr>
          <w:rFonts w:hint="default" w:ascii="Times New Roman" w:hAnsi="Times New Roman" w:eastAsia="宋体" w:cs="Times New Roman"/>
          <w:bCs/>
          <w:kern w:val="0"/>
          <w:sz w:val="24"/>
          <w:highlight w:val="none"/>
          <w:lang w:val="en-US" w:eastAsia="zh-CN"/>
        </w:rPr>
        <w:t>情况</w:t>
      </w:r>
      <w:r>
        <w:rPr>
          <w:rFonts w:hint="default" w:ascii="Times New Roman" w:hAnsi="Times New Roman" w:eastAsia="宋体" w:cs="Times New Roman"/>
          <w:bCs/>
          <w:kern w:val="0"/>
          <w:sz w:val="24"/>
          <w:highlight w:val="none"/>
        </w:rPr>
        <w:t>，于内部控制评价报告基准日，公司已按照企业内部控制规范体系和相关规定的要求在所有重大重要方面保持有效的财务报告内部控制，</w:t>
      </w:r>
      <w:r>
        <w:rPr>
          <w:rFonts w:hint="default" w:ascii="Times New Roman" w:hAnsi="Times New Roman" w:eastAsia="宋体" w:cs="Times New Roman"/>
          <w:bCs/>
          <w:kern w:val="0"/>
          <w:sz w:val="24"/>
          <w:highlight w:val="none"/>
          <w:lang w:val="en-US" w:eastAsia="zh-CN"/>
        </w:rPr>
        <w:t>不存在</w:t>
      </w:r>
      <w:r>
        <w:rPr>
          <w:rFonts w:hint="default" w:ascii="Times New Roman" w:hAnsi="Times New Roman" w:eastAsia="宋体" w:cs="Times New Roman"/>
          <w:bCs/>
          <w:kern w:val="0"/>
          <w:sz w:val="24"/>
          <w:highlight w:val="none"/>
        </w:rPr>
        <w:t>财务报告内部控制重大缺陷和重要缺陷。根据公司非财务报告内部控制重大缺陷认定</w:t>
      </w:r>
      <w:r>
        <w:rPr>
          <w:rFonts w:hint="default" w:ascii="Times New Roman" w:hAnsi="Times New Roman" w:eastAsia="宋体" w:cs="Times New Roman"/>
          <w:bCs/>
          <w:kern w:val="0"/>
          <w:sz w:val="24"/>
          <w:highlight w:val="none"/>
          <w:lang w:val="en-US" w:eastAsia="zh-CN"/>
        </w:rPr>
        <w:t>情况</w:t>
      </w:r>
      <w:r>
        <w:rPr>
          <w:rFonts w:hint="default" w:ascii="Times New Roman" w:hAnsi="Times New Roman" w:eastAsia="宋体" w:cs="Times New Roman"/>
          <w:bCs/>
          <w:kern w:val="0"/>
          <w:sz w:val="24"/>
          <w:highlight w:val="none"/>
        </w:rPr>
        <w:t>，于内部控制评价报告基准日，公司未发现非财务报告内部控制重大缺陷和重要缺陷。</w:t>
      </w:r>
      <w:r>
        <w:rPr>
          <w:rFonts w:hint="default" w:ascii="Times New Roman" w:hAnsi="Times New Roman" w:eastAsia="宋体" w:cs="Times New Roman"/>
          <w:sz w:val="24"/>
          <w:szCs w:val="24"/>
          <w:highlight w:val="none"/>
        </w:rPr>
        <w:t>公司自内部控制评价报告基准日至内部控制评价报告发出日之间，未发生影响内部控制有效性评价结论的因素。</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w:t>
      </w:r>
      <w:r>
        <w:rPr>
          <w:rFonts w:hint="default" w:ascii="Times New Roman" w:hAnsi="Times New Roman" w:eastAsia="宋体" w:cs="Times New Roman"/>
          <w:bCs/>
          <w:kern w:val="0"/>
          <w:sz w:val="24"/>
          <w:highlight w:val="none"/>
          <w:lang w:val="en-US" w:eastAsia="zh-CN"/>
        </w:rPr>
        <w:t>第十届董事会审计委员会2025年第二次会议</w:t>
      </w:r>
      <w:r>
        <w:rPr>
          <w:rFonts w:hint="default" w:ascii="Times New Roman" w:hAnsi="Times New Roman" w:eastAsia="宋体" w:cs="Times New Roman"/>
          <w:sz w:val="24"/>
          <w:szCs w:val="24"/>
          <w:highlight w:val="none"/>
        </w:rPr>
        <w:t>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议案的具体内容详见公司于2025年4月29日在巨潮资讯网（www.cninfo.com.cn）披露的相关内容。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8.</w:t>
      </w:r>
      <w:r>
        <w:rPr>
          <w:rFonts w:hint="default" w:ascii="Times New Roman" w:hAnsi="Times New Roman" w:eastAsia="宋体" w:cs="Times New Roman"/>
          <w:b/>
          <w:sz w:val="24"/>
          <w:szCs w:val="24"/>
          <w:highlight w:val="none"/>
        </w:rPr>
        <w:t>审议通过《关于审批公司</w:t>
      </w:r>
      <w:r>
        <w:rPr>
          <w:rFonts w:hint="default" w:ascii="Times New Roman" w:hAnsi="Times New Roman" w:eastAsia="宋体" w:cs="Times New Roman"/>
          <w:b/>
          <w:bCs/>
          <w:sz w:val="24"/>
          <w:szCs w:val="24"/>
          <w:highlight w:val="none"/>
        </w:rPr>
        <w:t>2024年内控体系建设工作报告及2025年内</w:t>
      </w:r>
      <w:r>
        <w:rPr>
          <w:rFonts w:hint="default" w:ascii="Times New Roman" w:hAnsi="Times New Roman" w:eastAsia="宋体" w:cs="Times New Roman"/>
          <w:b/>
          <w:sz w:val="24"/>
          <w:szCs w:val="24"/>
          <w:highlight w:val="none"/>
        </w:rPr>
        <w:t>控体系建设工作方案的议案》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经审议，董事会同意公司《2024年内控体系建设工作报告及2025年内控体系建设工作方案》。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w:t>
      </w:r>
      <w:r>
        <w:rPr>
          <w:rFonts w:hint="default" w:ascii="Times New Roman" w:hAnsi="Times New Roman" w:eastAsia="宋体" w:cs="Times New Roman"/>
          <w:bCs/>
          <w:kern w:val="0"/>
          <w:sz w:val="24"/>
          <w:highlight w:val="none"/>
          <w:lang w:val="en-US" w:eastAsia="zh-CN"/>
        </w:rPr>
        <w:t>第十届董事会审计委员会2025年第二次会议</w:t>
      </w:r>
      <w:r>
        <w:rPr>
          <w:rFonts w:hint="default" w:ascii="Times New Roman" w:hAnsi="Times New Roman" w:eastAsia="宋体" w:cs="Times New Roman"/>
          <w:sz w:val="24"/>
          <w:szCs w:val="24"/>
          <w:highlight w:val="none"/>
        </w:rPr>
        <w:t>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9.</w:t>
      </w:r>
      <w:r>
        <w:rPr>
          <w:rFonts w:hint="default" w:ascii="Times New Roman" w:hAnsi="Times New Roman" w:eastAsia="宋体" w:cs="Times New Roman"/>
          <w:b/>
          <w:sz w:val="24"/>
          <w:szCs w:val="24"/>
          <w:highlight w:val="none"/>
        </w:rPr>
        <w:t>审议通过《关于审批公司</w:t>
      </w:r>
      <w:r>
        <w:rPr>
          <w:rFonts w:hint="default" w:ascii="Times New Roman" w:hAnsi="Times New Roman" w:eastAsia="宋体" w:cs="Times New Roman"/>
          <w:b/>
          <w:bCs/>
          <w:sz w:val="24"/>
          <w:szCs w:val="24"/>
          <w:highlight w:val="none"/>
        </w:rPr>
        <w:t>2024</w:t>
      </w:r>
      <w:r>
        <w:rPr>
          <w:rFonts w:hint="default" w:ascii="Times New Roman" w:hAnsi="Times New Roman" w:eastAsia="宋体" w:cs="Times New Roman"/>
          <w:b/>
          <w:sz w:val="24"/>
          <w:szCs w:val="24"/>
          <w:highlight w:val="none"/>
        </w:rPr>
        <w:t>年度合规管理工作报告的议案》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经审议，董事会同意公司《2024年度合规管理工作报告》。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w:t>
      </w:r>
      <w:r>
        <w:rPr>
          <w:rFonts w:hint="default" w:ascii="Times New Roman" w:hAnsi="Times New Roman" w:eastAsia="宋体" w:cs="Times New Roman"/>
          <w:bCs/>
          <w:kern w:val="0"/>
          <w:sz w:val="24"/>
          <w:highlight w:val="none"/>
          <w:lang w:val="en-US" w:eastAsia="zh-CN"/>
        </w:rPr>
        <w:t>第十届董事会审计委员</w:t>
      </w:r>
      <w:r>
        <w:rPr>
          <w:rFonts w:hint="default" w:ascii="Times New Roman" w:hAnsi="Times New Roman" w:eastAsia="宋体" w:cs="Times New Roman"/>
          <w:sz w:val="24"/>
          <w:szCs w:val="24"/>
          <w:highlight w:val="none"/>
          <w:lang w:val="en-US" w:eastAsia="zh-CN"/>
        </w:rPr>
        <w:t>会2025</w:t>
      </w:r>
      <w:r>
        <w:rPr>
          <w:rFonts w:hint="default" w:ascii="Times New Roman" w:hAnsi="Times New Roman" w:eastAsia="宋体" w:cs="Times New Roman"/>
          <w:bCs/>
          <w:kern w:val="0"/>
          <w:sz w:val="24"/>
          <w:highlight w:val="none"/>
          <w:lang w:val="en-US" w:eastAsia="zh-CN"/>
        </w:rPr>
        <w:t>年第二次会议</w:t>
      </w:r>
      <w:r>
        <w:rPr>
          <w:rFonts w:hint="default" w:ascii="Times New Roman" w:hAnsi="Times New Roman" w:eastAsia="宋体" w:cs="Times New Roman"/>
          <w:sz w:val="24"/>
          <w:szCs w:val="24"/>
          <w:highlight w:val="none"/>
        </w:rPr>
        <w:t>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10.</w:t>
      </w:r>
      <w:r>
        <w:rPr>
          <w:rFonts w:hint="default" w:ascii="Times New Roman" w:hAnsi="Times New Roman" w:eastAsia="宋体" w:cs="Times New Roman"/>
          <w:b/>
          <w:sz w:val="24"/>
          <w:szCs w:val="24"/>
          <w:highlight w:val="none"/>
        </w:rPr>
        <w:t>审议通过《关于审批公司</w:t>
      </w:r>
      <w:r>
        <w:rPr>
          <w:rFonts w:hint="default" w:ascii="Times New Roman" w:hAnsi="Times New Roman" w:eastAsia="宋体" w:cs="Times New Roman"/>
          <w:b/>
          <w:bCs/>
          <w:sz w:val="24"/>
          <w:szCs w:val="24"/>
          <w:highlight w:val="none"/>
        </w:rPr>
        <w:t>2025</w:t>
      </w:r>
      <w:r>
        <w:rPr>
          <w:rFonts w:hint="default" w:ascii="Times New Roman" w:hAnsi="Times New Roman" w:eastAsia="宋体" w:cs="Times New Roman"/>
          <w:b/>
          <w:sz w:val="24"/>
          <w:szCs w:val="24"/>
          <w:highlight w:val="none"/>
        </w:rPr>
        <w:t>年度全面风险管理报告的议案》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经审议，董事会同意批准公司2025年度全面风险管理报告。</w:t>
      </w:r>
    </w:p>
    <w:p>
      <w:pPr>
        <w:spacing w:line="360" w:lineRule="auto"/>
        <w:ind w:firstLine="480" w:firstLineChars="200"/>
        <w:rPr>
          <w:rFonts w:hint="default" w:ascii="Times New Roman" w:hAnsi="Times New Roman" w:eastAsia="宋体" w:cs="Times New Roman"/>
          <w:bCs/>
          <w:kern w:val="0"/>
          <w:sz w:val="24"/>
          <w:highlight w:val="none"/>
          <w:lang w:val="en-US" w:eastAsia="zh-CN"/>
        </w:rPr>
      </w:pPr>
      <w:r>
        <w:rPr>
          <w:rFonts w:hint="default" w:ascii="Times New Roman" w:hAnsi="Times New Roman" w:eastAsia="宋体" w:cs="Times New Roman"/>
          <w:sz w:val="24"/>
          <w:szCs w:val="24"/>
          <w:highlight w:val="none"/>
        </w:rPr>
        <w:t>本议案已经</w:t>
      </w:r>
      <w:r>
        <w:rPr>
          <w:rFonts w:hint="default" w:ascii="Times New Roman" w:hAnsi="Times New Roman" w:eastAsia="宋体" w:cs="Times New Roman"/>
          <w:bCs/>
          <w:kern w:val="0"/>
          <w:sz w:val="24"/>
          <w:highlight w:val="none"/>
          <w:lang w:val="en-US" w:eastAsia="zh-CN"/>
        </w:rPr>
        <w:t>第十届董事会审计委员会2025年第二次会议和战略委员会2025年第一次会议事前审议通过。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具体内容请参见《2024年年度报告》“第三节 管理层讨论与分析”。</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11.</w:t>
      </w:r>
      <w:r>
        <w:rPr>
          <w:rFonts w:hint="default" w:ascii="Times New Roman" w:hAnsi="Times New Roman" w:eastAsia="宋体" w:cs="Times New Roman"/>
          <w:b/>
          <w:sz w:val="24"/>
          <w:szCs w:val="24"/>
          <w:highlight w:val="none"/>
        </w:rPr>
        <w:t>审议通过《关于审批公司2025年度经营计划的议案》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经审议，董事会同意批准公司2025年度经营计划。</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本议案已经第十届董事会战略委员会202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具体内容请参见《2024年年度报告》“第三节 管理层讨论与分析”。</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12.审议通过《关于审批公司2024年度募集资金存放与使用情况专项报告的议案》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经审议，董事会同意批准公司2024年度募集资金存放与使用情况专项报告。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rPr>
        <w:t>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议案的具体内容详见公司于2025年4月29日在巨潮资讯网（www.cninfo.com.cn）披露的相关内容。独立财务顾问中德证券有限责任公司就本议案发表了无异议的核查意见，立信会计师事务所（特殊普通合伙）出具了鉴证报告，上述内容详见公司于202</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年4月2</w:t>
      </w:r>
      <w:r>
        <w:rPr>
          <w:rFonts w:hint="eastAsia"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rPr>
        <w:t>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13.审议通过《关于审批中广核财务有限责任公司风险评估报告的议案》</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经审议，董事会同意中广核财务有限责任公司风险评估报告。</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eastAsia="zh-CN"/>
        </w:rPr>
        <w:t>次会议事前审议通过。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lang w:val="en-US" w:eastAsia="zh-CN"/>
        </w:rPr>
        <w:t>议案的具体内容详见公司于2025年4月29日在巨潮资讯网（www.cninfo.com.cn）披露的相关内容。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表决情况：5票同意、0票反对、0票弃权、4票回避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本议案涉及关联交易，董事盛国福、牟文君、何飞、于海峰因在交易对方的实际控制人任职、为交易对方实际控制人推荐的董事等原因为关联董事在本议案回避表决。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14.审议通过《关于审批公司2024年度减值准备计提及转回的议案》</w:t>
      </w:r>
    </w:p>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经审议，董事会认为：依据《企业会计准则》和公司相关会计政策的规定，公司计提202</w:t>
      </w:r>
      <w:r>
        <w:rPr>
          <w:rFonts w:hint="default" w:ascii="Times New Roman" w:hAnsi="Times New Roman" w:eastAsia="宋体" w:cs="Times New Roman"/>
          <w:bCs/>
          <w:kern w:val="0"/>
          <w:sz w:val="24"/>
          <w:szCs w:val="24"/>
          <w:highlight w:val="none"/>
          <w:lang w:val="en-US" w:eastAsia="zh-CN"/>
        </w:rPr>
        <w:t>4</w:t>
      </w:r>
      <w:r>
        <w:rPr>
          <w:rFonts w:hint="default" w:ascii="Times New Roman" w:hAnsi="Times New Roman" w:eastAsia="宋体" w:cs="Times New Roman"/>
          <w:bCs/>
          <w:kern w:val="0"/>
          <w:sz w:val="24"/>
          <w:szCs w:val="24"/>
          <w:highlight w:val="none"/>
        </w:rPr>
        <w:t>年度资产减值准备的依据充分，公允的反映了公司资产状况，使公司关于资产价值的会计信息更加真实可靠，具有合理性。</w:t>
      </w:r>
    </w:p>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本议案已经第十届董事会审计委员会202</w:t>
      </w:r>
      <w:r>
        <w:rPr>
          <w:rFonts w:hint="default" w:ascii="Times New Roman" w:hAnsi="Times New Roman" w:eastAsia="宋体" w:cs="Times New Roman"/>
          <w:bCs/>
          <w:kern w:val="0"/>
          <w:sz w:val="24"/>
          <w:szCs w:val="24"/>
          <w:highlight w:val="none"/>
          <w:lang w:val="en-US" w:eastAsia="zh-CN"/>
        </w:rPr>
        <w:t>5</w:t>
      </w:r>
      <w:r>
        <w:rPr>
          <w:rFonts w:hint="default" w:ascii="Times New Roman" w:hAnsi="Times New Roman" w:eastAsia="宋体" w:cs="Times New Roman"/>
          <w:bCs/>
          <w:kern w:val="0"/>
          <w:sz w:val="24"/>
          <w:szCs w:val="24"/>
          <w:highlight w:val="none"/>
        </w:rPr>
        <w:t>年第</w:t>
      </w:r>
      <w:r>
        <w:rPr>
          <w:rFonts w:hint="default" w:ascii="Times New Roman" w:hAnsi="Times New Roman" w:eastAsia="宋体" w:cs="Times New Roman"/>
          <w:bCs/>
          <w:kern w:val="0"/>
          <w:sz w:val="24"/>
          <w:szCs w:val="24"/>
          <w:highlight w:val="none"/>
          <w:lang w:val="en-US" w:eastAsia="zh-CN"/>
        </w:rPr>
        <w:t>二</w:t>
      </w:r>
      <w:r>
        <w:rPr>
          <w:rFonts w:hint="default" w:ascii="Times New Roman" w:hAnsi="Times New Roman" w:eastAsia="宋体" w:cs="Times New Roman"/>
          <w:bCs/>
          <w:kern w:val="0"/>
          <w:sz w:val="24"/>
          <w:szCs w:val="24"/>
          <w:highlight w:val="none"/>
        </w:rPr>
        <w:t>次会议事前审议通过。</w:t>
      </w:r>
    </w:p>
    <w:p>
      <w:pPr>
        <w:spacing w:line="360" w:lineRule="auto"/>
        <w:ind w:firstLine="480" w:firstLineChars="200"/>
        <w:rPr>
          <w:rFonts w:hint="default" w:ascii="Times New Roman" w:hAnsi="Times New Roman" w:cs="Times New Roman"/>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15.审议通过《关于审批变更公司会计政策及修订&lt;公司会计核算管理制度&gt;的议案》</w:t>
      </w:r>
    </w:p>
    <w:p>
      <w:pPr>
        <w:spacing w:line="360" w:lineRule="auto"/>
        <w:ind w:firstLine="480" w:firstLineChars="200"/>
        <w:rPr>
          <w:rFonts w:hint="default" w:ascii="Times New Roman" w:hAnsi="Times New Roman" w:eastAsia="宋体" w:cs="Times New Roman"/>
          <w:bCs/>
          <w:kern w:val="0"/>
          <w:sz w:val="24"/>
          <w:szCs w:val="24"/>
          <w:highlight w:val="none"/>
          <w:lang w:val="en-US" w:eastAsia="zh-CN"/>
        </w:rPr>
      </w:pPr>
      <w:r>
        <w:rPr>
          <w:rFonts w:hint="default" w:ascii="Times New Roman" w:hAnsi="Times New Roman" w:eastAsia="宋体" w:cs="Times New Roman"/>
          <w:bCs/>
          <w:kern w:val="0"/>
          <w:sz w:val="24"/>
          <w:szCs w:val="24"/>
          <w:highlight w:val="none"/>
        </w:rPr>
        <w:t>经审议，董事会</w:t>
      </w:r>
      <w:r>
        <w:rPr>
          <w:rFonts w:hint="default" w:ascii="Times New Roman" w:hAnsi="Times New Roman" w:eastAsia="宋体" w:cs="Times New Roman"/>
          <w:bCs/>
          <w:kern w:val="0"/>
          <w:sz w:val="24"/>
          <w:szCs w:val="24"/>
          <w:highlight w:val="none"/>
          <w:lang w:val="en-US" w:eastAsia="zh-CN"/>
        </w:rPr>
        <w:t>同意根据《企业会计准则解释第18号》的要求</w:t>
      </w:r>
      <w:r>
        <w:rPr>
          <w:rFonts w:hint="default" w:ascii="Times New Roman" w:hAnsi="Times New Roman" w:eastAsia="宋体" w:cs="Times New Roman"/>
          <w:bCs/>
          <w:kern w:val="0"/>
          <w:sz w:val="24"/>
        </w:rPr>
        <w:t>变更公司会计政策并修订《公司会计核算管理制度》</w:t>
      </w:r>
      <w:r>
        <w:rPr>
          <w:rFonts w:hint="default" w:ascii="Times New Roman" w:hAnsi="Times New Roman" w:eastAsia="宋体" w:cs="Times New Roman"/>
          <w:bCs/>
          <w:kern w:val="0"/>
          <w:sz w:val="24"/>
          <w:szCs w:val="24"/>
          <w:highlight w:val="none"/>
        </w:rPr>
        <w:t>。《公司会计核算管理制度》</w:t>
      </w:r>
      <w:r>
        <w:rPr>
          <w:rFonts w:hint="eastAsia" w:eastAsia="宋体" w:cs="Times New Roman"/>
          <w:bCs/>
          <w:kern w:val="0"/>
          <w:sz w:val="24"/>
          <w:szCs w:val="24"/>
          <w:highlight w:val="none"/>
          <w:lang w:val="en-US" w:eastAsia="zh-CN"/>
        </w:rPr>
        <w:t>修改情况如下：</w:t>
      </w:r>
    </w:p>
    <w:tbl>
      <w:tblPr>
        <w:tblStyle w:val="14"/>
        <w:tblW w:w="4906" w:type="pc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014"/>
        <w:gridCol w:w="3277"/>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shd w:val="clear" w:color="auto" w:fill="D7D7D7" w:themeFill="background1" w:themeFillShade="D8"/>
            <w:vAlign w:val="top"/>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014" w:type="dxa"/>
            <w:shd w:val="clear" w:color="auto" w:fill="D7D7D7" w:themeFill="background1" w:themeFillShade="D8"/>
            <w:vAlign w:val="top"/>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w:t>
            </w:r>
          </w:p>
        </w:tc>
        <w:tc>
          <w:tcPr>
            <w:tcW w:w="3277" w:type="dxa"/>
            <w:shd w:val="clear" w:color="auto" w:fill="D7D7D7" w:themeFill="background1" w:themeFillShade="D8"/>
            <w:vAlign w:val="top"/>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修订前会计核算制度</w:t>
            </w:r>
          </w:p>
        </w:tc>
        <w:tc>
          <w:tcPr>
            <w:tcW w:w="3415" w:type="dxa"/>
            <w:shd w:val="clear" w:color="auto" w:fill="D7D7D7" w:themeFill="background1" w:themeFillShade="D8"/>
            <w:vAlign w:val="top"/>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修订后会计核算制度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56"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1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会计科目和主要账务处理</w:t>
            </w:r>
          </w:p>
        </w:tc>
        <w:tc>
          <w:tcPr>
            <w:tcW w:w="3277" w:type="dxa"/>
          </w:tcPr>
          <w:p>
            <w:pPr>
              <w:rPr>
                <w:rFonts w:hint="eastAsia" w:ascii="宋体" w:hAnsi="宋体" w:eastAsia="宋体" w:cs="宋体"/>
                <w:lang w:val="en-US" w:eastAsia="zh-CN"/>
              </w:rPr>
            </w:pPr>
            <w:r>
              <w:rPr>
                <w:rFonts w:hint="eastAsia" w:ascii="宋体" w:hAnsi="宋体" w:eastAsia="宋体" w:cs="宋体"/>
                <w:lang w:val="en-US" w:eastAsia="zh-CN"/>
              </w:rPr>
              <w:t>1、预计负债</w:t>
            </w:r>
          </w:p>
          <w:p>
            <w:pPr>
              <w:rPr>
                <w:rFonts w:hint="eastAsia" w:ascii="宋体" w:hAnsi="宋体" w:eastAsia="宋体" w:cs="宋体"/>
                <w:lang w:val="en-US" w:eastAsia="zh-CN"/>
              </w:rPr>
            </w:pPr>
            <w:r>
              <w:rPr>
                <w:rFonts w:hint="eastAsia" w:ascii="宋体" w:hAnsi="宋体" w:eastAsia="宋体" w:cs="宋体"/>
                <w:lang w:val="en-US" w:eastAsia="zh-CN"/>
              </w:rPr>
              <w:t>公司由对外提供担保、未决诉讼、重组义务产生的预计负债，应按确定的金额，借记“营业外支出”等科目，贷记本科目。由不属于单项履约义务产品质量保证产生的预计负债，应按确定的金额，借记“销售费用”科目，贷记本科目。</w:t>
            </w:r>
          </w:p>
          <w:p>
            <w:pPr>
              <w:rPr>
                <w:rFonts w:hint="eastAsia" w:ascii="宋体" w:hAnsi="宋体" w:eastAsia="宋体" w:cs="宋体"/>
                <w:lang w:val="en-US" w:eastAsia="zh-CN"/>
              </w:rPr>
            </w:pPr>
            <w:r>
              <w:rPr>
                <w:rFonts w:hint="eastAsia" w:ascii="宋体" w:hAnsi="宋体" w:eastAsia="宋体" w:cs="宋体"/>
                <w:lang w:val="en-US" w:eastAsia="zh-CN"/>
              </w:rPr>
              <w:t>2、销售费用</w:t>
            </w:r>
          </w:p>
          <w:p>
            <w:pPr>
              <w:rPr>
                <w:rFonts w:hint="eastAsia" w:ascii="宋体" w:hAnsi="宋体" w:eastAsia="宋体" w:cs="宋体"/>
                <w:lang w:val="en-US" w:eastAsia="zh-CN"/>
              </w:rPr>
            </w:pPr>
            <w:r>
              <w:rPr>
                <w:rFonts w:hint="eastAsia" w:ascii="宋体" w:hAnsi="宋体" w:eastAsia="宋体" w:cs="宋体"/>
                <w:lang w:val="en-US" w:eastAsia="zh-CN"/>
              </w:rPr>
              <w:t>本科目核算公司销售商品和材料、提供劳务的过程中发生的各种费用，包括保险费、包装费、展览费和广告费、商品维修费、预计不属于单项履约义务产品质量保证损失、运输费、装卸费等以及为销售本公司商品而专设的销售机构（含销售网点、售后服务网点等）的职工薪酬、业务费、折旧费等经营费用</w:t>
            </w:r>
          </w:p>
        </w:tc>
        <w:tc>
          <w:tcPr>
            <w:tcW w:w="3415"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1、预计负债</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sz w:val="21"/>
                <w:szCs w:val="21"/>
                <w:vertAlign w:val="baseline"/>
                <w:lang w:val="en-US" w:eastAsia="zh-CN"/>
              </w:rPr>
              <w:t>公司由对外提供担保、未决诉讼、重组义务产生的预计负债，应按确定的金额</w:t>
            </w:r>
            <w:r>
              <w:rPr>
                <w:rFonts w:hint="eastAsia" w:ascii="宋体" w:hAnsi="宋体" w:eastAsia="宋体" w:cs="宋体"/>
                <w:color w:val="auto"/>
                <w:sz w:val="21"/>
                <w:szCs w:val="21"/>
                <w:vertAlign w:val="baseline"/>
                <w:lang w:val="en-US" w:eastAsia="zh-CN"/>
              </w:rPr>
              <w:t>，借记“营业外支出”等科目，贷记本科目。</w:t>
            </w:r>
            <w:r>
              <w:rPr>
                <w:rFonts w:hint="eastAsia" w:ascii="宋体" w:hAnsi="宋体" w:eastAsia="宋体" w:cs="宋体"/>
                <w:b/>
                <w:bCs/>
                <w:color w:val="auto"/>
                <w:sz w:val="21"/>
                <w:szCs w:val="21"/>
                <w:vertAlign w:val="baseline"/>
                <w:lang w:val="en-US" w:eastAsia="zh-CN"/>
              </w:rPr>
              <w:t>由不属于单项履约义务产品质量保证产生的预计负债，应按确定的金额，借记“主营业务成本”、“其他业务成本”等科目，贷记本科目。</w:t>
            </w:r>
          </w:p>
          <w:p>
            <w:p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 2、销售费用</w:t>
            </w:r>
          </w:p>
          <w:p>
            <w:pP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vertAlign w:val="baseline"/>
                <w:lang w:val="en-US" w:eastAsia="zh-CN"/>
              </w:rPr>
              <w:t>本科目核算公司销售商品和材料、提供劳务的过程中发生的各种费用，包括保险费、包装费、展览费和广告费、商品维修费、运输费、装卸费等以及为销售本公司商品而专设的销售机构（含销售网点、售后服务网点等）的职工薪酬、业务费、折旧费等经营费用</w:t>
            </w:r>
            <w:r>
              <w:rPr>
                <w:rFonts w:hint="eastAsia" w:ascii="宋体" w:hAnsi="宋体" w:eastAsia="宋体" w:cs="宋体"/>
                <w:b/>
                <w:bCs/>
                <w:color w:val="auto"/>
                <w:sz w:val="21"/>
                <w:szCs w:val="21"/>
                <w:vertAlign w:val="baseline"/>
                <w:lang w:val="en-US" w:eastAsia="zh-CN"/>
              </w:rPr>
              <w:t>（删除产品质量保证）</w:t>
            </w:r>
          </w:p>
        </w:tc>
      </w:tr>
    </w:tbl>
    <w:p>
      <w:pPr>
        <w:spacing w:line="360" w:lineRule="auto"/>
        <w:ind w:firstLine="480" w:firstLineChars="200"/>
        <w:rPr>
          <w:rFonts w:hint="default" w:ascii="Times New Roman" w:hAnsi="Times New Roman" w:eastAsia="宋体" w:cs="Times New Roman"/>
          <w:bCs/>
          <w:kern w:val="0"/>
          <w:sz w:val="24"/>
          <w:szCs w:val="24"/>
          <w:highlight w:val="none"/>
        </w:rPr>
      </w:pPr>
      <w:r>
        <w:rPr>
          <w:rFonts w:hint="default" w:ascii="Times New Roman" w:hAnsi="Times New Roman" w:eastAsia="宋体" w:cs="Times New Roman"/>
          <w:bCs/>
          <w:kern w:val="0"/>
          <w:sz w:val="24"/>
          <w:szCs w:val="24"/>
          <w:highlight w:val="none"/>
        </w:rPr>
        <w:t>本议案已经第十届董事会审计委员会202</w:t>
      </w:r>
      <w:r>
        <w:rPr>
          <w:rFonts w:hint="default" w:ascii="Times New Roman" w:hAnsi="Times New Roman" w:eastAsia="宋体" w:cs="Times New Roman"/>
          <w:bCs/>
          <w:kern w:val="0"/>
          <w:sz w:val="24"/>
          <w:szCs w:val="24"/>
          <w:highlight w:val="none"/>
          <w:lang w:val="en-US" w:eastAsia="zh-CN"/>
        </w:rPr>
        <w:t>5</w:t>
      </w:r>
      <w:r>
        <w:rPr>
          <w:rFonts w:hint="default" w:ascii="Times New Roman" w:hAnsi="Times New Roman" w:eastAsia="宋体" w:cs="Times New Roman"/>
          <w:bCs/>
          <w:kern w:val="0"/>
          <w:sz w:val="24"/>
          <w:szCs w:val="24"/>
          <w:highlight w:val="none"/>
        </w:rPr>
        <w:t>年第</w:t>
      </w:r>
      <w:r>
        <w:rPr>
          <w:rFonts w:hint="default" w:ascii="Times New Roman" w:hAnsi="Times New Roman" w:eastAsia="宋体" w:cs="Times New Roman"/>
          <w:bCs/>
          <w:kern w:val="0"/>
          <w:sz w:val="24"/>
          <w:szCs w:val="24"/>
          <w:highlight w:val="none"/>
          <w:lang w:val="en-US" w:eastAsia="zh-CN"/>
        </w:rPr>
        <w:t>二</w:t>
      </w:r>
      <w:r>
        <w:rPr>
          <w:rFonts w:hint="default" w:ascii="Times New Roman" w:hAnsi="Times New Roman" w:eastAsia="宋体" w:cs="Times New Roman"/>
          <w:bCs/>
          <w:kern w:val="0"/>
          <w:sz w:val="24"/>
          <w:szCs w:val="24"/>
          <w:highlight w:val="none"/>
        </w:rPr>
        <w:t>次会议事前审议通过。</w:t>
      </w:r>
    </w:p>
    <w:p>
      <w:pPr>
        <w:spacing w:line="360" w:lineRule="auto"/>
        <w:ind w:firstLine="480" w:firstLineChars="200"/>
        <w:rPr>
          <w:rFonts w:hint="default" w:ascii="Times New Roman" w:hAnsi="Times New Roman" w:cs="Times New Roman"/>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16.审议通过《关于审议公司2024年度财务决算报告的议案》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2024年，公司实现营业收入61.68亿元，归属于上市公司股东的净利润-3.62亿元。截止2024年12月31日，公司总资产107.02亿元，归属于上市公司股东的净资产52.30亿元。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立信会计</w:t>
      </w:r>
      <w:r>
        <w:rPr>
          <w:rFonts w:hint="eastAsia" w:eastAsia="宋体" w:cs="Times New Roman"/>
          <w:sz w:val="24"/>
          <w:szCs w:val="24"/>
          <w:highlight w:val="none"/>
          <w:lang w:val="en-US" w:eastAsia="zh-CN"/>
        </w:rPr>
        <w:t>师</w:t>
      </w:r>
      <w:r>
        <w:rPr>
          <w:rFonts w:hint="default" w:ascii="Times New Roman" w:hAnsi="Times New Roman" w:eastAsia="宋体" w:cs="Times New Roman"/>
          <w:sz w:val="24"/>
          <w:szCs w:val="24"/>
          <w:highlight w:val="none"/>
        </w:rPr>
        <w:t>事务所（特殊普通合伙）受托审计了公司财务报表，包括2024年12月31日的合并及母公司资产负债表，2024年度的合并及母公司利润表、合并及母公司现金流量表、合并及母公司所有者权益变动表以及财务报表附注。立信会计师事务所出具的审计报告为标准无保留意见的审计报告，审计意见认为，公司财务报表在所有重大方面按照企业会计准则的规定编制，公允反映了公司2024年12月31日的合并及母公司财务状况以及2024年度的合并及母公司经营成果和合并及母公司现金流量。</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年度财务决算报告。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本议案已经第十届董事会审计委员会2025年第二次会议事前审议通过。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6"/>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17.审议通过《关于审议公司2025年预算与投资计划的议案》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围绕高质量发展、精益化管理要求，结合国内外经济发展趋势，公司编制了2025年预算与投资计划，主要内容如下：（1）2025年公司营业收入同比增加15.36亿元，同比增长24.90%；（2）2025年投资计划预算总额9.43亿元，其中股权投资金额1.80亿元，固定资产（含无形资产）投资金额7.63亿元。</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经审议，董事会同意公司202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年预算与投资计划。</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rPr>
        <w:t>次会议和战略委员会202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18.审议通过《关于审议公司2024年度利润分配方案的议案》</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snapToGrid/>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经审议，董事会</w:t>
      </w:r>
      <w:r>
        <w:rPr>
          <w:rFonts w:hint="default" w:ascii="Times New Roman" w:hAnsi="Times New Roman" w:eastAsia="宋体" w:cs="Times New Roman"/>
          <w:sz w:val="24"/>
          <w:szCs w:val="24"/>
          <w:highlight w:val="none"/>
        </w:rPr>
        <w:t>同意公司2024年度利润分配方案为2024年度不派发现金红利，不送红股，不以公积金转增股本</w:t>
      </w:r>
      <w:r>
        <w:rPr>
          <w:rFonts w:hint="default" w:ascii="Times New Roman" w:hAnsi="Times New Roman" w:eastAsia="宋体" w:cs="Times New Roman"/>
          <w:snapToGrid/>
          <w:kern w:val="2"/>
          <w:sz w:val="24"/>
          <w:szCs w:val="24"/>
          <w:highlight w:val="none"/>
          <w:lang w:val="en-US" w:eastAsia="zh-CN" w:bidi="ar-SA"/>
        </w:rPr>
        <w:t>。本次利润分配方案符合《上市公司监管指引第3号—上市公司现金分红》《公司章程》和《未来三年（2023年—2025年）股东回报规划》的要求。</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本议案已经独立董事专门会议2025年第一次会议事前审议通过。</w:t>
      </w:r>
    </w:p>
    <w:p>
      <w:pPr>
        <w:spacing w:line="360" w:lineRule="auto"/>
        <w:ind w:firstLine="480" w:firstLineChars="200"/>
        <w:rPr>
          <w:rFonts w:hint="default" w:ascii="Times New Roman" w:hAnsi="Times New Roman" w:cs="Times New Roman"/>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6"/>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19.审议通过《关于审议公司2025年度银行授信及融资计划的议案》</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snapToGrid/>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经审议，董事会</w:t>
      </w:r>
      <w:r>
        <w:rPr>
          <w:rFonts w:hint="default" w:ascii="Times New Roman" w:hAnsi="Times New Roman" w:eastAsia="宋体" w:cs="Times New Roman"/>
          <w:sz w:val="24"/>
          <w:szCs w:val="24"/>
          <w:highlight w:val="none"/>
        </w:rPr>
        <w:t>同意在2024年年度股东会召开日至2025年年度股东会召开日的时间范围内，在不超过人民币196.23亿元授信额度内，公司及下属子公司向金融机构申请授信额度</w:t>
      </w:r>
      <w:r>
        <w:rPr>
          <w:rFonts w:hint="default" w:ascii="Times New Roman" w:hAnsi="Times New Roman" w:eastAsia="宋体" w:cs="Times New Roman"/>
          <w:sz w:val="24"/>
          <w:szCs w:val="24"/>
          <w:highlight w:val="none"/>
          <w:lang w:eastAsia="zh-CN"/>
        </w:rPr>
        <w:t>，其中以中广核技名义向金融机构申请授信额度人民币88.2亿元，以下属</w:t>
      </w:r>
      <w:r>
        <w:rPr>
          <w:rFonts w:hint="default" w:ascii="Times New Roman" w:hAnsi="Times New Roman" w:eastAsia="宋体" w:cs="Times New Roman"/>
          <w:sz w:val="24"/>
          <w:szCs w:val="24"/>
          <w:highlight w:val="none"/>
          <w:lang w:val="en-US" w:eastAsia="zh-CN"/>
        </w:rPr>
        <w:t>子</w:t>
      </w:r>
      <w:r>
        <w:rPr>
          <w:rFonts w:hint="default" w:ascii="Times New Roman" w:hAnsi="Times New Roman" w:eastAsia="宋体" w:cs="Times New Roman"/>
          <w:sz w:val="24"/>
          <w:szCs w:val="24"/>
          <w:highlight w:val="none"/>
          <w:lang w:eastAsia="zh-CN"/>
        </w:rPr>
        <w:t>公司名义向金融机构申请授信额度人民币108.03亿元。申请的银行授信主要用于长（短）期贷款、银行承兑汇票、项目贷款、并购贷款、供应链金融、保函、信用证等各类授信业务。</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本议案尚需提交公司</w:t>
      </w:r>
      <w:r>
        <w:rPr>
          <w:rFonts w:hint="default" w:ascii="Times New Roman" w:hAnsi="Times New Roman" w:eastAsia="宋体" w:cs="Times New Roman"/>
          <w:sz w:val="24"/>
          <w:szCs w:val="24"/>
          <w:highlight w:val="none"/>
          <w:lang w:val="en-US" w:eastAsia="zh-CN"/>
        </w:rPr>
        <w:t>2024</w:t>
      </w:r>
      <w:r>
        <w:rPr>
          <w:rFonts w:hint="default" w:ascii="Times New Roman" w:hAnsi="Times New Roman" w:eastAsia="宋体" w:cs="Times New Roman"/>
          <w:sz w:val="24"/>
          <w:szCs w:val="24"/>
          <w:highlight w:val="none"/>
        </w:rPr>
        <w:t>年</w:t>
      </w:r>
      <w:r>
        <w:rPr>
          <w:rFonts w:hint="default" w:ascii="Times New Roman" w:hAnsi="Times New Roman" w:eastAsia="宋体" w:cs="Times New Roman"/>
          <w:sz w:val="24"/>
          <w:szCs w:val="24"/>
          <w:highlight w:val="none"/>
          <w:lang w:val="en-US" w:eastAsia="zh-CN"/>
        </w:rPr>
        <w:t>年度</w:t>
      </w:r>
      <w:r>
        <w:rPr>
          <w:rFonts w:hint="default" w:ascii="Times New Roman" w:hAnsi="Times New Roman" w:eastAsia="宋体" w:cs="Times New Roman"/>
          <w:sz w:val="24"/>
          <w:szCs w:val="24"/>
          <w:highlight w:val="none"/>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20.审议通过《关于审批收购项目利润承诺补偿履约情况说明的议案》</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经审议，董事会同意收购项目利润承诺补偿履约情况说明</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eastAsia="zh-CN"/>
        </w:rPr>
        <w:t>次会议和战略委员会202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议案的具体内容详见公司于2025年4月29日在巨潮资讯网（www.cninfo.com.cn）披露的相关内容。立信会计师事务所（特殊普通合伙）出具了专项审核报告。具体内容详见公司于202</w:t>
      </w:r>
      <w:r>
        <w:rPr>
          <w:rFonts w:hint="eastAsia"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年4月2</w:t>
      </w:r>
      <w:r>
        <w:rPr>
          <w:rFonts w:hint="eastAsia"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21.审议通过《关于审议确认公司2024年度日常关联交易和预计2025年度日常关联交易的议案》</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经审议，董事会同意本议案。</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本议案已经独立董事专门会议2025年第一次会议和第十届董事会审计委员会2025年第二次会议事前审议通过。</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本议案涉及关联交易，董事盛国福、牟文君、何飞、于海峰、慕长坤、吴远明因在交易对方的实际控制人任职、为交易对方实际控制人推荐的董事等原因为关联董事在本议案回避表决。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22.</w:t>
      </w:r>
      <w:r>
        <w:rPr>
          <w:rFonts w:hint="default" w:ascii="Times New Roman" w:hAnsi="Times New Roman" w:eastAsia="宋体" w:cs="Times New Roman"/>
          <w:b/>
          <w:sz w:val="24"/>
          <w:szCs w:val="24"/>
          <w:highlight w:val="none"/>
        </w:rPr>
        <w:t>审议通过《关于审批公司2024年度ESG报告的议案》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经审议，董事会同意《2024年度ESG报告》。</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eastAsia="zh-CN"/>
        </w:rPr>
        <w:t>次会议事前审议通过。</w:t>
      </w:r>
    </w:p>
    <w:p>
      <w:pPr>
        <w:spacing w:line="360" w:lineRule="auto"/>
        <w:ind w:firstLine="480" w:firstLineChars="200"/>
        <w:rPr>
          <w:rFonts w:hint="default" w:ascii="Times New Roman" w:hAnsi="Times New Roman" w:cs="Times New Roman"/>
          <w:lang w:eastAsia="zh-CN"/>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23.审议通过《关于审议公司2024年度董事会工作报告的议案》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经审议，董事会同意《2024年度董事会工作报告》。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议案的具体内容详见公司于2025年4月29日在巨潮资讯网（www.cninfo.com.cn）披露的相关内容。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本议案需提交20</w:t>
      </w:r>
      <w:r>
        <w:rPr>
          <w:rFonts w:hint="default" w:ascii="Times New Roman" w:hAnsi="Times New Roman" w:eastAsia="宋体" w:cs="Times New Roman"/>
          <w:sz w:val="24"/>
          <w:szCs w:val="24"/>
          <w:lang w:val="en-US" w:eastAsia="zh-CN"/>
        </w:rPr>
        <w:t>24</w:t>
      </w:r>
      <w:r>
        <w:rPr>
          <w:rFonts w:hint="default" w:ascii="Times New Roman" w:hAnsi="Times New Roman" w:eastAsia="宋体" w:cs="Times New Roman"/>
          <w:sz w:val="24"/>
          <w:szCs w:val="24"/>
        </w:rPr>
        <w:t>年年度股东会审议。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24.审议通过《关于审批公司独立董事2024年度独立性情况专项意见的议案》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董事会对独立董事独立性情况进行</w:t>
      </w:r>
      <w:r>
        <w:rPr>
          <w:rFonts w:hint="eastAsia" w:eastAsia="宋体" w:cs="Times New Roman"/>
          <w:sz w:val="24"/>
          <w:szCs w:val="24"/>
          <w:highlight w:val="none"/>
          <w:lang w:val="en-US" w:eastAsia="zh-CN"/>
        </w:rPr>
        <w:t>了</w:t>
      </w:r>
      <w:r>
        <w:rPr>
          <w:rFonts w:hint="default" w:ascii="Times New Roman" w:hAnsi="Times New Roman" w:eastAsia="宋体" w:cs="Times New Roman"/>
          <w:sz w:val="24"/>
          <w:szCs w:val="24"/>
          <w:highlight w:val="none"/>
        </w:rPr>
        <w:t>评估并出具</w:t>
      </w:r>
      <w:r>
        <w:rPr>
          <w:rFonts w:hint="eastAsia" w:eastAsia="宋体" w:cs="Times New Roman"/>
          <w:sz w:val="24"/>
          <w:szCs w:val="24"/>
          <w:highlight w:val="none"/>
          <w:lang w:val="en-US" w:eastAsia="zh-CN"/>
        </w:rPr>
        <w:t>了</w:t>
      </w:r>
      <w:r>
        <w:rPr>
          <w:rFonts w:hint="default" w:ascii="Times New Roman" w:hAnsi="Times New Roman" w:eastAsia="宋体" w:cs="Times New Roman"/>
          <w:sz w:val="24"/>
          <w:szCs w:val="24"/>
          <w:highlight w:val="none"/>
        </w:rPr>
        <w:t>专项意见</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highlight w:val="none"/>
        </w:rPr>
        <w:t>议案的具体内容详见公司于2025年4月29日在巨潮资讯网（www.cninfo.com.cn）披露的相关内容。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本议案已经第十届董事会提名委员会2025年第三次会议事前审议通过。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关联</w:t>
      </w:r>
      <w:r>
        <w:rPr>
          <w:rFonts w:hint="default" w:ascii="Times New Roman" w:hAnsi="Times New Roman" w:eastAsia="宋体" w:cs="Times New Roman"/>
          <w:sz w:val="24"/>
          <w:szCs w:val="24"/>
          <w:lang w:val="en-US" w:eastAsia="zh-CN"/>
        </w:rPr>
        <w:t>独立</w:t>
      </w:r>
      <w:r>
        <w:rPr>
          <w:rFonts w:hint="default" w:ascii="Times New Roman" w:hAnsi="Times New Roman" w:eastAsia="宋体" w:cs="Times New Roman"/>
          <w:sz w:val="24"/>
          <w:szCs w:val="24"/>
        </w:rPr>
        <w:t>董事</w:t>
      </w:r>
      <w:r>
        <w:rPr>
          <w:rFonts w:hint="default" w:ascii="Times New Roman" w:hAnsi="Times New Roman" w:eastAsia="宋体" w:cs="Times New Roman"/>
          <w:sz w:val="24"/>
          <w:szCs w:val="24"/>
          <w:highlight w:val="none"/>
        </w:rPr>
        <w:t>黄晓延、康晓岳、王满</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25.审议通过《关于审议公司独立董事2024年度履职评价及薪酬的议案》</w:t>
      </w:r>
    </w:p>
    <w:p>
      <w:pPr>
        <w:pStyle w:val="3"/>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snapToGrid/>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经审议，董事会</w:t>
      </w:r>
      <w:r>
        <w:rPr>
          <w:rFonts w:hint="default" w:ascii="Times New Roman" w:hAnsi="Times New Roman" w:eastAsia="宋体" w:cs="Times New Roman"/>
          <w:sz w:val="24"/>
          <w:szCs w:val="24"/>
          <w:highlight w:val="none"/>
        </w:rPr>
        <w:t>同意公司三位独立董事</w:t>
      </w:r>
      <w:r>
        <w:rPr>
          <w:rFonts w:hint="default" w:ascii="Times New Roman" w:hAnsi="Times New Roman" w:eastAsia="宋体" w:cs="Times New Roman"/>
          <w:sz w:val="24"/>
          <w:szCs w:val="24"/>
          <w:highlight w:val="none"/>
          <w:lang w:val="en-US" w:eastAsia="zh-CN"/>
        </w:rPr>
        <w:t>孙光国、黄晓延、康晓岳</w:t>
      </w:r>
      <w:r>
        <w:rPr>
          <w:rFonts w:hint="default" w:ascii="Times New Roman" w:hAnsi="Times New Roman" w:eastAsia="宋体" w:cs="Times New Roman"/>
          <w:sz w:val="24"/>
          <w:szCs w:val="24"/>
          <w:highlight w:val="none"/>
        </w:rPr>
        <w:t>2024年度履职评价结果评为优秀，年度薪酬为10万元，独立董事薪酬2024年度每月按5000元预发，剩余额度于2024年年度股东会审批后进行结算</w:t>
      </w:r>
      <w:r>
        <w:rPr>
          <w:rFonts w:hint="default" w:ascii="Times New Roman" w:hAnsi="Times New Roman" w:eastAsia="宋体" w:cs="Times New Roman"/>
          <w:snapToGrid/>
          <w:kern w:val="2"/>
          <w:sz w:val="24"/>
          <w:szCs w:val="24"/>
          <w:highlight w:val="none"/>
          <w:lang w:val="en-US" w:eastAsia="zh-CN" w:bidi="ar-SA"/>
        </w:rPr>
        <w:t>。</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本议案已经第十届董事会薪酬委员会2025年第一次会议事前审议通过。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关联</w:t>
      </w:r>
      <w:r>
        <w:rPr>
          <w:rFonts w:hint="default" w:ascii="Times New Roman" w:hAnsi="Times New Roman" w:eastAsia="宋体" w:cs="Times New Roman"/>
          <w:sz w:val="24"/>
          <w:szCs w:val="24"/>
          <w:lang w:val="en-US" w:eastAsia="zh-CN"/>
        </w:rPr>
        <w:t>独立</w:t>
      </w:r>
      <w:r>
        <w:rPr>
          <w:rFonts w:hint="default" w:ascii="Times New Roman" w:hAnsi="Times New Roman" w:eastAsia="宋体" w:cs="Times New Roman"/>
          <w:sz w:val="24"/>
          <w:szCs w:val="24"/>
        </w:rPr>
        <w:t>董事</w:t>
      </w:r>
      <w:r>
        <w:rPr>
          <w:rFonts w:hint="default" w:ascii="Times New Roman" w:hAnsi="Times New Roman" w:eastAsia="宋体" w:cs="Times New Roman"/>
          <w:sz w:val="24"/>
          <w:szCs w:val="24"/>
          <w:lang w:val="en-US" w:eastAsia="zh-CN"/>
        </w:rPr>
        <w:t>黄晓延、康晓岳</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26.审议通过《关于审议公司2024年年度报告及摘要的议案》</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经审议，董事会同意公司2024年年度报告及摘要</w:t>
      </w:r>
      <w:r>
        <w:rPr>
          <w:rFonts w:hint="default" w:ascii="Times New Roman" w:hAnsi="Times New Roman" w:eastAsia="宋体" w:cs="Times New Roman"/>
          <w:sz w:val="24"/>
          <w:szCs w:val="24"/>
          <w:highlight w:val="none"/>
          <w:lang w:eastAsia="zh-CN"/>
        </w:rPr>
        <w:t>。</w:t>
      </w:r>
    </w:p>
    <w:p>
      <w:pPr>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eastAsia="zh-CN"/>
        </w:rPr>
        <w:t>次会议和战略委员会202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eastAsia="zh-CN"/>
        </w:rPr>
        <w:t>年第一次会议事前审议通过。</w:t>
      </w:r>
    </w:p>
    <w:p>
      <w:pPr>
        <w:spacing w:line="360" w:lineRule="auto"/>
        <w:ind w:firstLine="480" w:firstLineChars="200"/>
        <w:rPr>
          <w:rFonts w:hint="default" w:ascii="Times New Roman" w:hAnsi="Times New Roman" w:cs="Times New Roman"/>
          <w:lang w:eastAsia="zh-CN"/>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pStyle w:val="6"/>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rPr>
        <w:t>股东会审议。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27.审议通过《关于审批公司2025年第一季度报告的议案》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经审议，董事会同意2025年第一季度报告。</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本议案已经第十届董事会审计委员会202</w:t>
      </w: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年第</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rPr>
        <w:t>次会议事前审议通过。</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议案的具体内容详见公司于2025年4月29日在证券时报、中国证券报、上海证券报和巨潮资讯网（www.cninfo.com.cn）披露的相关内容。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93" w:beforeLines="30" w:after="93" w:afterLines="30" w:line="360" w:lineRule="auto"/>
        <w:ind w:leftChars="200"/>
        <w:textAlignment w:val="auto"/>
        <w:outlineLvl w:val="1"/>
        <w:rPr>
          <w:rFonts w:hint="default" w:ascii="Times New Roman" w:hAnsi="Times New Roman" w:eastAsia="宋体" w:cs="Times New Roman"/>
          <w:b/>
          <w:sz w:val="24"/>
          <w:szCs w:val="24"/>
          <w:highlight w:val="none"/>
          <w:lang w:val="en-US" w:eastAsia="zh-CN"/>
        </w:rPr>
      </w:pPr>
      <w:r>
        <w:rPr>
          <w:rFonts w:hint="default" w:ascii="Times New Roman" w:hAnsi="Times New Roman" w:eastAsia="宋体" w:cs="Times New Roman"/>
          <w:b/>
          <w:sz w:val="24"/>
          <w:szCs w:val="24"/>
          <w:highlight w:val="none"/>
          <w:lang w:val="en-US" w:eastAsia="zh-CN"/>
        </w:rPr>
        <w:t>28.审议通过《关于审批修订&lt;公司突发事件综合应急预案&gt;的议案》</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同意修订《公司突发事件综合应急预案》</w:t>
      </w:r>
      <w:r>
        <w:rPr>
          <w:rFonts w:hint="default" w:ascii="Times New Roman" w:hAnsi="Times New Roman" w:eastAsia="宋体" w:cs="Times New Roman"/>
          <w:sz w:val="24"/>
          <w:szCs w:val="24"/>
          <w:highlight w:val="none"/>
        </w:rPr>
        <w:t>。</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eastAsia="zh-CN"/>
        </w:rPr>
        <w:t>9票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eastAsia="宋体"/>
          <w:b/>
          <w:sz w:val="24"/>
          <w:szCs w:val="24"/>
        </w:rPr>
      </w:pPr>
      <w:r>
        <w:rPr>
          <w:rFonts w:eastAsia="宋体"/>
          <w:b/>
          <w:sz w:val="24"/>
          <w:szCs w:val="24"/>
        </w:rPr>
        <w:t>三、备查文件</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第十届董事会第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en-US" w:eastAsia="zh-CN"/>
        </w:rPr>
        <w:t>六</w:t>
      </w:r>
      <w:r>
        <w:rPr>
          <w:rFonts w:hint="default" w:ascii="Times New Roman" w:hAnsi="Times New Roman" w:eastAsia="宋体" w:cs="Times New Roman"/>
          <w:sz w:val="24"/>
          <w:szCs w:val="24"/>
        </w:rPr>
        <w:t>次会议决议</w:t>
      </w:r>
      <w:r>
        <w:rPr>
          <w:rFonts w:hint="default" w:ascii="Times New Roman" w:hAnsi="Times New Roman" w:eastAsia="宋体" w:cs="Times New Roman"/>
          <w:sz w:val="24"/>
          <w:szCs w:val="24"/>
          <w:lang w:val="en-US" w:eastAsia="zh-CN"/>
        </w:rPr>
        <w:t>；</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2.独立董事专门会议2025年第一次会议决议；</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3.第十届董事会薪酬委员会2025年第一次会议决议；</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4.第十届董事会审计委员会2025年第二次会议决议；</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5.第十届董事会战略委员会2025年第一次会议决议；</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6.第十届董事会提名委员会2025年第三次会议决议；</w:t>
      </w:r>
    </w:p>
    <w:p>
      <w:pPr>
        <w:pStyle w:val="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7.深交所要求的其他文件。</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lang w:val="en-US" w:eastAsia="zh-CN"/>
        </w:rPr>
        <w:t>5</w:t>
      </w:r>
      <w:r>
        <w:rPr>
          <w:rFonts w:eastAsia="宋体"/>
          <w:b/>
          <w:sz w:val="24"/>
          <w:szCs w:val="24"/>
        </w:rPr>
        <w:t>年</w:t>
      </w:r>
      <w:r>
        <w:rPr>
          <w:rFonts w:hint="eastAsia" w:eastAsia="宋体"/>
          <w:b/>
          <w:sz w:val="24"/>
          <w:szCs w:val="24"/>
          <w:lang w:val="en-US" w:eastAsia="zh-CN"/>
        </w:rPr>
        <w:t>4</w:t>
      </w:r>
      <w:r>
        <w:rPr>
          <w:rFonts w:eastAsia="宋体"/>
          <w:b/>
          <w:sz w:val="24"/>
          <w:szCs w:val="24"/>
        </w:rPr>
        <w:t>月</w:t>
      </w:r>
      <w:r>
        <w:rPr>
          <w:rFonts w:hint="eastAsia" w:eastAsia="宋体"/>
          <w:b/>
          <w:sz w:val="24"/>
          <w:szCs w:val="24"/>
          <w:lang w:val="en-US" w:eastAsia="zh-CN"/>
        </w:rPr>
        <w:t>29</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5"/>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4A69"/>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16DC4"/>
    <w:rsid w:val="028D37FB"/>
    <w:rsid w:val="02AD39E9"/>
    <w:rsid w:val="02CF01B1"/>
    <w:rsid w:val="02DD2615"/>
    <w:rsid w:val="02F04CB0"/>
    <w:rsid w:val="03005F32"/>
    <w:rsid w:val="030D40D0"/>
    <w:rsid w:val="031E7295"/>
    <w:rsid w:val="03343341"/>
    <w:rsid w:val="03733562"/>
    <w:rsid w:val="038D108E"/>
    <w:rsid w:val="038F72EC"/>
    <w:rsid w:val="03A865D9"/>
    <w:rsid w:val="03AD4A6D"/>
    <w:rsid w:val="04220EB1"/>
    <w:rsid w:val="04226A84"/>
    <w:rsid w:val="04371027"/>
    <w:rsid w:val="04A3318B"/>
    <w:rsid w:val="04C64E02"/>
    <w:rsid w:val="0503641B"/>
    <w:rsid w:val="05105A18"/>
    <w:rsid w:val="052970CB"/>
    <w:rsid w:val="056104BC"/>
    <w:rsid w:val="0598401E"/>
    <w:rsid w:val="05B9404A"/>
    <w:rsid w:val="05C2125A"/>
    <w:rsid w:val="05E67615"/>
    <w:rsid w:val="05FA5D1E"/>
    <w:rsid w:val="0605178D"/>
    <w:rsid w:val="06236F09"/>
    <w:rsid w:val="062C661A"/>
    <w:rsid w:val="064D0C7B"/>
    <w:rsid w:val="066F4A33"/>
    <w:rsid w:val="0693255A"/>
    <w:rsid w:val="06EA2838"/>
    <w:rsid w:val="070161F7"/>
    <w:rsid w:val="072E4129"/>
    <w:rsid w:val="075925E6"/>
    <w:rsid w:val="07992F5A"/>
    <w:rsid w:val="07BB7068"/>
    <w:rsid w:val="080A3FCD"/>
    <w:rsid w:val="0827239F"/>
    <w:rsid w:val="083D5237"/>
    <w:rsid w:val="084142D3"/>
    <w:rsid w:val="08537854"/>
    <w:rsid w:val="08675B42"/>
    <w:rsid w:val="08B34FDB"/>
    <w:rsid w:val="09680BBB"/>
    <w:rsid w:val="09871B38"/>
    <w:rsid w:val="0A132998"/>
    <w:rsid w:val="0A4B5634"/>
    <w:rsid w:val="0AD3407A"/>
    <w:rsid w:val="0AE07D73"/>
    <w:rsid w:val="0AF134B2"/>
    <w:rsid w:val="0B1D1A32"/>
    <w:rsid w:val="0B1D4B9F"/>
    <w:rsid w:val="0BA13B35"/>
    <w:rsid w:val="0BBC2399"/>
    <w:rsid w:val="0BCF27F9"/>
    <w:rsid w:val="0C23126C"/>
    <w:rsid w:val="0C81081E"/>
    <w:rsid w:val="0C8A0B43"/>
    <w:rsid w:val="0C8D26EF"/>
    <w:rsid w:val="0C902580"/>
    <w:rsid w:val="0CBB0DCD"/>
    <w:rsid w:val="0CC61161"/>
    <w:rsid w:val="0D850800"/>
    <w:rsid w:val="0D8B0F9C"/>
    <w:rsid w:val="0D936180"/>
    <w:rsid w:val="0D97210F"/>
    <w:rsid w:val="0DA21979"/>
    <w:rsid w:val="0E920773"/>
    <w:rsid w:val="0E9E7E62"/>
    <w:rsid w:val="0ECD436B"/>
    <w:rsid w:val="0ED52CCF"/>
    <w:rsid w:val="0F00639D"/>
    <w:rsid w:val="0F075B3D"/>
    <w:rsid w:val="0F413EB1"/>
    <w:rsid w:val="0F74290B"/>
    <w:rsid w:val="0F7976AC"/>
    <w:rsid w:val="0FEE7B63"/>
    <w:rsid w:val="0FF90584"/>
    <w:rsid w:val="0FFE21D2"/>
    <w:rsid w:val="10967BE4"/>
    <w:rsid w:val="10B32973"/>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3F81771"/>
    <w:rsid w:val="149B346D"/>
    <w:rsid w:val="149D2C0B"/>
    <w:rsid w:val="14AE1DA2"/>
    <w:rsid w:val="14D25F4A"/>
    <w:rsid w:val="152336C8"/>
    <w:rsid w:val="15310CF8"/>
    <w:rsid w:val="15447327"/>
    <w:rsid w:val="155B20AD"/>
    <w:rsid w:val="1588570F"/>
    <w:rsid w:val="158F25CA"/>
    <w:rsid w:val="15B21392"/>
    <w:rsid w:val="15EC1418"/>
    <w:rsid w:val="161E0CBF"/>
    <w:rsid w:val="16251A7B"/>
    <w:rsid w:val="168604B3"/>
    <w:rsid w:val="16CD3142"/>
    <w:rsid w:val="16DB572C"/>
    <w:rsid w:val="16FE1415"/>
    <w:rsid w:val="172C29D4"/>
    <w:rsid w:val="17330D1A"/>
    <w:rsid w:val="17564E9E"/>
    <w:rsid w:val="178E3F62"/>
    <w:rsid w:val="179A11D6"/>
    <w:rsid w:val="187278CB"/>
    <w:rsid w:val="18B25606"/>
    <w:rsid w:val="18C15495"/>
    <w:rsid w:val="19154E02"/>
    <w:rsid w:val="194075FE"/>
    <w:rsid w:val="19877B1F"/>
    <w:rsid w:val="198B6309"/>
    <w:rsid w:val="19951B5B"/>
    <w:rsid w:val="19977830"/>
    <w:rsid w:val="19F84C38"/>
    <w:rsid w:val="1A1C7CD0"/>
    <w:rsid w:val="1A202DC3"/>
    <w:rsid w:val="1A595C8F"/>
    <w:rsid w:val="1A5D6431"/>
    <w:rsid w:val="1AAD1ACB"/>
    <w:rsid w:val="1B0C1623"/>
    <w:rsid w:val="1B326183"/>
    <w:rsid w:val="1B3D734C"/>
    <w:rsid w:val="1B447FB2"/>
    <w:rsid w:val="1B5C1BE4"/>
    <w:rsid w:val="1B85705F"/>
    <w:rsid w:val="1B9158C8"/>
    <w:rsid w:val="1B9E0B91"/>
    <w:rsid w:val="1BC00537"/>
    <w:rsid w:val="1BD838BE"/>
    <w:rsid w:val="1BF926A9"/>
    <w:rsid w:val="1BFE3412"/>
    <w:rsid w:val="1C433887"/>
    <w:rsid w:val="1C63352B"/>
    <w:rsid w:val="1C767603"/>
    <w:rsid w:val="1CAC66F9"/>
    <w:rsid w:val="1CC31220"/>
    <w:rsid w:val="1CD1668F"/>
    <w:rsid w:val="1CD24564"/>
    <w:rsid w:val="1CDF509E"/>
    <w:rsid w:val="1D37508A"/>
    <w:rsid w:val="1D442687"/>
    <w:rsid w:val="1D6E7F52"/>
    <w:rsid w:val="1D833AD0"/>
    <w:rsid w:val="1DA7769E"/>
    <w:rsid w:val="1DB54E36"/>
    <w:rsid w:val="1E26544F"/>
    <w:rsid w:val="1EDF0E4F"/>
    <w:rsid w:val="1EF20C24"/>
    <w:rsid w:val="1EFA27BD"/>
    <w:rsid w:val="1F223370"/>
    <w:rsid w:val="1F456C3D"/>
    <w:rsid w:val="1F711687"/>
    <w:rsid w:val="1F7A021E"/>
    <w:rsid w:val="1FAB1086"/>
    <w:rsid w:val="1FF36C63"/>
    <w:rsid w:val="20410D06"/>
    <w:rsid w:val="20710830"/>
    <w:rsid w:val="20794362"/>
    <w:rsid w:val="209B3FAE"/>
    <w:rsid w:val="20A94838"/>
    <w:rsid w:val="20C60967"/>
    <w:rsid w:val="20C95856"/>
    <w:rsid w:val="20DB2918"/>
    <w:rsid w:val="215A3B58"/>
    <w:rsid w:val="21A878A2"/>
    <w:rsid w:val="21B80284"/>
    <w:rsid w:val="21C469B0"/>
    <w:rsid w:val="21C60C94"/>
    <w:rsid w:val="22083A05"/>
    <w:rsid w:val="22096CA7"/>
    <w:rsid w:val="22606E0A"/>
    <w:rsid w:val="22855DAD"/>
    <w:rsid w:val="22895BE8"/>
    <w:rsid w:val="23350755"/>
    <w:rsid w:val="23414E98"/>
    <w:rsid w:val="234D01CE"/>
    <w:rsid w:val="23557D99"/>
    <w:rsid w:val="237B467C"/>
    <w:rsid w:val="23B00172"/>
    <w:rsid w:val="23B61459"/>
    <w:rsid w:val="23D36CB2"/>
    <w:rsid w:val="23D9005D"/>
    <w:rsid w:val="24012D10"/>
    <w:rsid w:val="243F6622"/>
    <w:rsid w:val="24844D27"/>
    <w:rsid w:val="24B94234"/>
    <w:rsid w:val="24B95E28"/>
    <w:rsid w:val="24C1538F"/>
    <w:rsid w:val="24E446E9"/>
    <w:rsid w:val="24F80306"/>
    <w:rsid w:val="24FF4E38"/>
    <w:rsid w:val="252213D0"/>
    <w:rsid w:val="25374AF3"/>
    <w:rsid w:val="25450769"/>
    <w:rsid w:val="257B287A"/>
    <w:rsid w:val="25A8674B"/>
    <w:rsid w:val="25C73B3B"/>
    <w:rsid w:val="25D9362D"/>
    <w:rsid w:val="25EA26C1"/>
    <w:rsid w:val="26005B04"/>
    <w:rsid w:val="26080C47"/>
    <w:rsid w:val="27337794"/>
    <w:rsid w:val="27355873"/>
    <w:rsid w:val="275F6C4D"/>
    <w:rsid w:val="27DF6666"/>
    <w:rsid w:val="27E8466F"/>
    <w:rsid w:val="27EE1B5B"/>
    <w:rsid w:val="28056291"/>
    <w:rsid w:val="282E5EC3"/>
    <w:rsid w:val="28354E82"/>
    <w:rsid w:val="28391989"/>
    <w:rsid w:val="28525986"/>
    <w:rsid w:val="285B60A9"/>
    <w:rsid w:val="28652863"/>
    <w:rsid w:val="288A5D4C"/>
    <w:rsid w:val="28A477F3"/>
    <w:rsid w:val="28DA3395"/>
    <w:rsid w:val="28DD25E0"/>
    <w:rsid w:val="28EC4CD0"/>
    <w:rsid w:val="28FF1F96"/>
    <w:rsid w:val="29064C4D"/>
    <w:rsid w:val="29655D4A"/>
    <w:rsid w:val="29973DBD"/>
    <w:rsid w:val="29CF6AD8"/>
    <w:rsid w:val="29DC5247"/>
    <w:rsid w:val="2B1C7180"/>
    <w:rsid w:val="2B591B29"/>
    <w:rsid w:val="2B6644AD"/>
    <w:rsid w:val="2BB22A8A"/>
    <w:rsid w:val="2BC96F52"/>
    <w:rsid w:val="2BEC617B"/>
    <w:rsid w:val="2BF54791"/>
    <w:rsid w:val="2C240C3C"/>
    <w:rsid w:val="2C837CC5"/>
    <w:rsid w:val="2C893779"/>
    <w:rsid w:val="2C8F651A"/>
    <w:rsid w:val="2D0E6475"/>
    <w:rsid w:val="2DB24AA4"/>
    <w:rsid w:val="2DB615D4"/>
    <w:rsid w:val="2DE043C2"/>
    <w:rsid w:val="2E1D46A8"/>
    <w:rsid w:val="2E4F5666"/>
    <w:rsid w:val="2E821397"/>
    <w:rsid w:val="2E8350B5"/>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1E27719"/>
    <w:rsid w:val="31EB6191"/>
    <w:rsid w:val="32AD43B0"/>
    <w:rsid w:val="32F2307E"/>
    <w:rsid w:val="32F953D2"/>
    <w:rsid w:val="33000A2E"/>
    <w:rsid w:val="331D4D45"/>
    <w:rsid w:val="34626DAE"/>
    <w:rsid w:val="348D6D89"/>
    <w:rsid w:val="34AF42A0"/>
    <w:rsid w:val="34B62684"/>
    <w:rsid w:val="34F21765"/>
    <w:rsid w:val="350B05E4"/>
    <w:rsid w:val="35954B20"/>
    <w:rsid w:val="359B5634"/>
    <w:rsid w:val="359F07A3"/>
    <w:rsid w:val="35B75306"/>
    <w:rsid w:val="35DA7390"/>
    <w:rsid w:val="35DD5BE8"/>
    <w:rsid w:val="35E6793D"/>
    <w:rsid w:val="35F1548B"/>
    <w:rsid w:val="3606181D"/>
    <w:rsid w:val="3667221E"/>
    <w:rsid w:val="3681148B"/>
    <w:rsid w:val="369063FA"/>
    <w:rsid w:val="36A646A7"/>
    <w:rsid w:val="378A2713"/>
    <w:rsid w:val="37AF093D"/>
    <w:rsid w:val="37D24CA4"/>
    <w:rsid w:val="385942A4"/>
    <w:rsid w:val="38BA31AE"/>
    <w:rsid w:val="38F77026"/>
    <w:rsid w:val="390B3BAD"/>
    <w:rsid w:val="39353570"/>
    <w:rsid w:val="3A915C02"/>
    <w:rsid w:val="3AB62979"/>
    <w:rsid w:val="3ABB0228"/>
    <w:rsid w:val="3ACF2DFF"/>
    <w:rsid w:val="3B1E2C92"/>
    <w:rsid w:val="3B627CF4"/>
    <w:rsid w:val="3BB4504B"/>
    <w:rsid w:val="3BB563BF"/>
    <w:rsid w:val="3C0B4EF4"/>
    <w:rsid w:val="3C156AA2"/>
    <w:rsid w:val="3C2F06EC"/>
    <w:rsid w:val="3C6E0DD8"/>
    <w:rsid w:val="3C926DDE"/>
    <w:rsid w:val="3CAF042D"/>
    <w:rsid w:val="3CB46C36"/>
    <w:rsid w:val="3CF22462"/>
    <w:rsid w:val="3D23337D"/>
    <w:rsid w:val="3D4A4124"/>
    <w:rsid w:val="3E793709"/>
    <w:rsid w:val="3E8E06D6"/>
    <w:rsid w:val="3EC576AD"/>
    <w:rsid w:val="3ED50494"/>
    <w:rsid w:val="3FAC2834"/>
    <w:rsid w:val="40A94D33"/>
    <w:rsid w:val="40B01A65"/>
    <w:rsid w:val="40BA7418"/>
    <w:rsid w:val="40C1059D"/>
    <w:rsid w:val="410D3985"/>
    <w:rsid w:val="411C2F72"/>
    <w:rsid w:val="41870684"/>
    <w:rsid w:val="4196177A"/>
    <w:rsid w:val="41C25DC3"/>
    <w:rsid w:val="41C55BD8"/>
    <w:rsid w:val="429B3FB2"/>
    <w:rsid w:val="430F7D93"/>
    <w:rsid w:val="43265537"/>
    <w:rsid w:val="433656A7"/>
    <w:rsid w:val="4364761E"/>
    <w:rsid w:val="4378508A"/>
    <w:rsid w:val="43BA1751"/>
    <w:rsid w:val="43BF4487"/>
    <w:rsid w:val="43C05D80"/>
    <w:rsid w:val="44284B5F"/>
    <w:rsid w:val="44474811"/>
    <w:rsid w:val="44604933"/>
    <w:rsid w:val="44714AFB"/>
    <w:rsid w:val="44796AC2"/>
    <w:rsid w:val="44C42441"/>
    <w:rsid w:val="44D76C47"/>
    <w:rsid w:val="44FD15D2"/>
    <w:rsid w:val="45130F9E"/>
    <w:rsid w:val="45175857"/>
    <w:rsid w:val="452520DD"/>
    <w:rsid w:val="453B32A8"/>
    <w:rsid w:val="454E77EE"/>
    <w:rsid w:val="461F3EBE"/>
    <w:rsid w:val="464E73A4"/>
    <w:rsid w:val="4684492B"/>
    <w:rsid w:val="46885010"/>
    <w:rsid w:val="469E548C"/>
    <w:rsid w:val="46AD6854"/>
    <w:rsid w:val="46E6637D"/>
    <w:rsid w:val="4705712E"/>
    <w:rsid w:val="471A7038"/>
    <w:rsid w:val="472129CA"/>
    <w:rsid w:val="47CB3E36"/>
    <w:rsid w:val="47F61B67"/>
    <w:rsid w:val="485A0EA8"/>
    <w:rsid w:val="486354FC"/>
    <w:rsid w:val="48811E6D"/>
    <w:rsid w:val="488A744B"/>
    <w:rsid w:val="48DF35DF"/>
    <w:rsid w:val="492926C9"/>
    <w:rsid w:val="49725FD1"/>
    <w:rsid w:val="49BF4571"/>
    <w:rsid w:val="4A145737"/>
    <w:rsid w:val="4A365D92"/>
    <w:rsid w:val="4A4F7B6C"/>
    <w:rsid w:val="4A515382"/>
    <w:rsid w:val="4A8B7951"/>
    <w:rsid w:val="4AB34C38"/>
    <w:rsid w:val="4ACE3B7F"/>
    <w:rsid w:val="4AD51513"/>
    <w:rsid w:val="4AEF427C"/>
    <w:rsid w:val="4B6003F5"/>
    <w:rsid w:val="4BA56ACE"/>
    <w:rsid w:val="4BB23BBB"/>
    <w:rsid w:val="4BB42B60"/>
    <w:rsid w:val="4BCE305D"/>
    <w:rsid w:val="4C4614BD"/>
    <w:rsid w:val="4C936A3B"/>
    <w:rsid w:val="4CEF26B4"/>
    <w:rsid w:val="4D1B4648"/>
    <w:rsid w:val="4D612218"/>
    <w:rsid w:val="4D6F59A6"/>
    <w:rsid w:val="4DCA5C65"/>
    <w:rsid w:val="4DEF3BEF"/>
    <w:rsid w:val="4E231736"/>
    <w:rsid w:val="4E27013D"/>
    <w:rsid w:val="4E9354A6"/>
    <w:rsid w:val="4F0F2447"/>
    <w:rsid w:val="4F217F9B"/>
    <w:rsid w:val="4F505B88"/>
    <w:rsid w:val="4F56349A"/>
    <w:rsid w:val="4F604D34"/>
    <w:rsid w:val="4F8E1909"/>
    <w:rsid w:val="4FAC0F1E"/>
    <w:rsid w:val="50443630"/>
    <w:rsid w:val="504C3368"/>
    <w:rsid w:val="5067612A"/>
    <w:rsid w:val="509C405F"/>
    <w:rsid w:val="50E667B4"/>
    <w:rsid w:val="50F03809"/>
    <w:rsid w:val="50F85818"/>
    <w:rsid w:val="5126460E"/>
    <w:rsid w:val="51766FA2"/>
    <w:rsid w:val="5188598E"/>
    <w:rsid w:val="51936115"/>
    <w:rsid w:val="51D6626D"/>
    <w:rsid w:val="521E7F95"/>
    <w:rsid w:val="523E4376"/>
    <w:rsid w:val="52400863"/>
    <w:rsid w:val="525853E7"/>
    <w:rsid w:val="52B20682"/>
    <w:rsid w:val="52CB3E75"/>
    <w:rsid w:val="52F77230"/>
    <w:rsid w:val="532606DF"/>
    <w:rsid w:val="53C564F0"/>
    <w:rsid w:val="53D123DC"/>
    <w:rsid w:val="540D40C4"/>
    <w:rsid w:val="545C5D5F"/>
    <w:rsid w:val="547871EB"/>
    <w:rsid w:val="54793793"/>
    <w:rsid w:val="549D6082"/>
    <w:rsid w:val="54B24082"/>
    <w:rsid w:val="54B57CF7"/>
    <w:rsid w:val="54B946F7"/>
    <w:rsid w:val="54B97DCC"/>
    <w:rsid w:val="54EB63CD"/>
    <w:rsid w:val="551B7C86"/>
    <w:rsid w:val="55384DC6"/>
    <w:rsid w:val="55430C32"/>
    <w:rsid w:val="554B33D8"/>
    <w:rsid w:val="557233A0"/>
    <w:rsid w:val="557E11BB"/>
    <w:rsid w:val="55A550D0"/>
    <w:rsid w:val="56BC720C"/>
    <w:rsid w:val="56C647B3"/>
    <w:rsid w:val="56E12E8A"/>
    <w:rsid w:val="56EF5D14"/>
    <w:rsid w:val="572B04AD"/>
    <w:rsid w:val="573B36AB"/>
    <w:rsid w:val="576E0B58"/>
    <w:rsid w:val="57720192"/>
    <w:rsid w:val="57771CBB"/>
    <w:rsid w:val="57827EBD"/>
    <w:rsid w:val="57DF501C"/>
    <w:rsid w:val="58096E6F"/>
    <w:rsid w:val="582D1AC4"/>
    <w:rsid w:val="588D112C"/>
    <w:rsid w:val="590E1D84"/>
    <w:rsid w:val="59272D23"/>
    <w:rsid w:val="595B5966"/>
    <w:rsid w:val="59937618"/>
    <w:rsid w:val="59B72D27"/>
    <w:rsid w:val="59C04459"/>
    <w:rsid w:val="59F11840"/>
    <w:rsid w:val="5A246D39"/>
    <w:rsid w:val="5A2D6255"/>
    <w:rsid w:val="5A344C5B"/>
    <w:rsid w:val="5A404F42"/>
    <w:rsid w:val="5A4910FB"/>
    <w:rsid w:val="5A586E6E"/>
    <w:rsid w:val="5A5B1261"/>
    <w:rsid w:val="5A751744"/>
    <w:rsid w:val="5AC2653B"/>
    <w:rsid w:val="5AE4544C"/>
    <w:rsid w:val="5AE747C3"/>
    <w:rsid w:val="5B0F786F"/>
    <w:rsid w:val="5B3E0ACF"/>
    <w:rsid w:val="5B4A3D91"/>
    <w:rsid w:val="5B5C25E4"/>
    <w:rsid w:val="5B774E71"/>
    <w:rsid w:val="5B86479E"/>
    <w:rsid w:val="5B9E6027"/>
    <w:rsid w:val="5BA23B0C"/>
    <w:rsid w:val="5BCC52B7"/>
    <w:rsid w:val="5BFD5D3B"/>
    <w:rsid w:val="5C0B3189"/>
    <w:rsid w:val="5C0E651B"/>
    <w:rsid w:val="5C2442E8"/>
    <w:rsid w:val="5CDF7D10"/>
    <w:rsid w:val="5CFF5879"/>
    <w:rsid w:val="5D2B4BB7"/>
    <w:rsid w:val="5D331B3B"/>
    <w:rsid w:val="5D4930BF"/>
    <w:rsid w:val="5D8A4F8E"/>
    <w:rsid w:val="5E1D09B1"/>
    <w:rsid w:val="5E42737D"/>
    <w:rsid w:val="5E43257A"/>
    <w:rsid w:val="5E594112"/>
    <w:rsid w:val="5E6C2D25"/>
    <w:rsid w:val="5E984F4E"/>
    <w:rsid w:val="5EE0506F"/>
    <w:rsid w:val="5F362843"/>
    <w:rsid w:val="5F63338A"/>
    <w:rsid w:val="5F6A70D2"/>
    <w:rsid w:val="5F7C130F"/>
    <w:rsid w:val="5F9472E7"/>
    <w:rsid w:val="5F9E5A83"/>
    <w:rsid w:val="600A602E"/>
    <w:rsid w:val="60230C69"/>
    <w:rsid w:val="603F2C9B"/>
    <w:rsid w:val="60527107"/>
    <w:rsid w:val="607C091B"/>
    <w:rsid w:val="60982C3C"/>
    <w:rsid w:val="60B55130"/>
    <w:rsid w:val="60BD2606"/>
    <w:rsid w:val="611412CD"/>
    <w:rsid w:val="61171764"/>
    <w:rsid w:val="611C403B"/>
    <w:rsid w:val="612C310A"/>
    <w:rsid w:val="612F7E3B"/>
    <w:rsid w:val="61687FE2"/>
    <w:rsid w:val="617903C5"/>
    <w:rsid w:val="61807FF6"/>
    <w:rsid w:val="61AA735E"/>
    <w:rsid w:val="61E86642"/>
    <w:rsid w:val="621A3574"/>
    <w:rsid w:val="62231153"/>
    <w:rsid w:val="62AB7D14"/>
    <w:rsid w:val="62B97337"/>
    <w:rsid w:val="62E01977"/>
    <w:rsid w:val="62E95975"/>
    <w:rsid w:val="62F507BA"/>
    <w:rsid w:val="630A29FC"/>
    <w:rsid w:val="6323360B"/>
    <w:rsid w:val="63613472"/>
    <w:rsid w:val="63681B9C"/>
    <w:rsid w:val="63D262A7"/>
    <w:rsid w:val="63D8455C"/>
    <w:rsid w:val="63ED76B4"/>
    <w:rsid w:val="64643702"/>
    <w:rsid w:val="64B03B59"/>
    <w:rsid w:val="64C90324"/>
    <w:rsid w:val="64D00197"/>
    <w:rsid w:val="64E06A1A"/>
    <w:rsid w:val="64E351D7"/>
    <w:rsid w:val="64FF45CD"/>
    <w:rsid w:val="6537655B"/>
    <w:rsid w:val="654A1320"/>
    <w:rsid w:val="65681D1D"/>
    <w:rsid w:val="65856911"/>
    <w:rsid w:val="65D331FF"/>
    <w:rsid w:val="663B75F8"/>
    <w:rsid w:val="668C02C9"/>
    <w:rsid w:val="66A8173D"/>
    <w:rsid w:val="66CF4A15"/>
    <w:rsid w:val="66F50CAA"/>
    <w:rsid w:val="67194E2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A1241B"/>
    <w:rsid w:val="6ADC1DEB"/>
    <w:rsid w:val="6AE00BC1"/>
    <w:rsid w:val="6B23238E"/>
    <w:rsid w:val="6B38463A"/>
    <w:rsid w:val="6B3A1344"/>
    <w:rsid w:val="6B8148DE"/>
    <w:rsid w:val="6B9F543B"/>
    <w:rsid w:val="6BDB41A3"/>
    <w:rsid w:val="6BE60AD2"/>
    <w:rsid w:val="6C2D2B5A"/>
    <w:rsid w:val="6C461D15"/>
    <w:rsid w:val="6C7B529C"/>
    <w:rsid w:val="6C7C2784"/>
    <w:rsid w:val="6C8A10F7"/>
    <w:rsid w:val="6C991530"/>
    <w:rsid w:val="6CA84F28"/>
    <w:rsid w:val="6CAC6D99"/>
    <w:rsid w:val="6CC3543E"/>
    <w:rsid w:val="6CDC3B2B"/>
    <w:rsid w:val="6CDF1EAF"/>
    <w:rsid w:val="6CE63799"/>
    <w:rsid w:val="6D21511E"/>
    <w:rsid w:val="6D2F3BBD"/>
    <w:rsid w:val="6D7B7A66"/>
    <w:rsid w:val="6D905698"/>
    <w:rsid w:val="6DA61A64"/>
    <w:rsid w:val="6DBD0949"/>
    <w:rsid w:val="6DCA209B"/>
    <w:rsid w:val="6E1603CB"/>
    <w:rsid w:val="6E577091"/>
    <w:rsid w:val="6E84034D"/>
    <w:rsid w:val="6F0D1E43"/>
    <w:rsid w:val="6F1E0D5A"/>
    <w:rsid w:val="6F2E04E4"/>
    <w:rsid w:val="6F493520"/>
    <w:rsid w:val="6FA12229"/>
    <w:rsid w:val="6FC22B46"/>
    <w:rsid w:val="6FC35E69"/>
    <w:rsid w:val="6FDC7143"/>
    <w:rsid w:val="6FE45653"/>
    <w:rsid w:val="70554341"/>
    <w:rsid w:val="7089404F"/>
    <w:rsid w:val="70AF1C7C"/>
    <w:rsid w:val="70CB3CC9"/>
    <w:rsid w:val="70D6700E"/>
    <w:rsid w:val="71272110"/>
    <w:rsid w:val="712E50BB"/>
    <w:rsid w:val="719D793C"/>
    <w:rsid w:val="71BC5F4C"/>
    <w:rsid w:val="71D42690"/>
    <w:rsid w:val="71E00131"/>
    <w:rsid w:val="71FE35D0"/>
    <w:rsid w:val="72512AA3"/>
    <w:rsid w:val="727A42CD"/>
    <w:rsid w:val="72E31C10"/>
    <w:rsid w:val="72F62AA8"/>
    <w:rsid w:val="730E5B22"/>
    <w:rsid w:val="73310E11"/>
    <w:rsid w:val="736D7931"/>
    <w:rsid w:val="73710DE8"/>
    <w:rsid w:val="73813E64"/>
    <w:rsid w:val="738B6ECD"/>
    <w:rsid w:val="740D39D4"/>
    <w:rsid w:val="74183D26"/>
    <w:rsid w:val="742A1457"/>
    <w:rsid w:val="743069D9"/>
    <w:rsid w:val="749D7B69"/>
    <w:rsid w:val="74F32128"/>
    <w:rsid w:val="75652953"/>
    <w:rsid w:val="75910C1A"/>
    <w:rsid w:val="75934016"/>
    <w:rsid w:val="75C84817"/>
    <w:rsid w:val="75CB0ECB"/>
    <w:rsid w:val="75E7418D"/>
    <w:rsid w:val="76071FAE"/>
    <w:rsid w:val="76131444"/>
    <w:rsid w:val="762A7C7A"/>
    <w:rsid w:val="76645525"/>
    <w:rsid w:val="768160B1"/>
    <w:rsid w:val="773B151D"/>
    <w:rsid w:val="774E6988"/>
    <w:rsid w:val="774E6BCF"/>
    <w:rsid w:val="7772562A"/>
    <w:rsid w:val="780A14FB"/>
    <w:rsid w:val="780E4292"/>
    <w:rsid w:val="781666A4"/>
    <w:rsid w:val="781E6760"/>
    <w:rsid w:val="78413F3B"/>
    <w:rsid w:val="7875223D"/>
    <w:rsid w:val="78B758DC"/>
    <w:rsid w:val="78C91827"/>
    <w:rsid w:val="78DC27C9"/>
    <w:rsid w:val="793A7663"/>
    <w:rsid w:val="799F2BDF"/>
    <w:rsid w:val="79B07D84"/>
    <w:rsid w:val="79C54F96"/>
    <w:rsid w:val="7A0E3BAD"/>
    <w:rsid w:val="7A1816D7"/>
    <w:rsid w:val="7A6779ED"/>
    <w:rsid w:val="7A7F1552"/>
    <w:rsid w:val="7A8F2184"/>
    <w:rsid w:val="7AB279F2"/>
    <w:rsid w:val="7AE65844"/>
    <w:rsid w:val="7B3159C3"/>
    <w:rsid w:val="7B5C3EFD"/>
    <w:rsid w:val="7B7873A1"/>
    <w:rsid w:val="7B9D1504"/>
    <w:rsid w:val="7BE34C4E"/>
    <w:rsid w:val="7C3E49BC"/>
    <w:rsid w:val="7C403B9E"/>
    <w:rsid w:val="7C5D3006"/>
    <w:rsid w:val="7C993F7F"/>
    <w:rsid w:val="7CBE27BE"/>
    <w:rsid w:val="7CC5604D"/>
    <w:rsid w:val="7CD3558A"/>
    <w:rsid w:val="7CE27CFF"/>
    <w:rsid w:val="7CEF5346"/>
    <w:rsid w:val="7D9F149E"/>
    <w:rsid w:val="7DD34743"/>
    <w:rsid w:val="7DF12D8F"/>
    <w:rsid w:val="7DF52673"/>
    <w:rsid w:val="7E14633A"/>
    <w:rsid w:val="7E8F6CAE"/>
    <w:rsid w:val="7F0167D8"/>
    <w:rsid w:val="7F432996"/>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标准）"/>
    <w:basedOn w:val="1"/>
    <w:next w:val="1"/>
    <w:semiHidden/>
    <w:qFormat/>
    <w:uiPriority w:val="0"/>
    <w:pPr>
      <w:ind w:firstLine="525"/>
    </w:pPr>
    <w:rPr>
      <w:rFonts w:ascii="宋体" w:hAnsi="宋体"/>
    </w:rPr>
  </w:style>
  <w:style w:type="paragraph" w:styleId="3">
    <w:name w:val="Normal Indent"/>
    <w:basedOn w:val="1"/>
    <w:qFormat/>
    <w:uiPriority w:val="0"/>
    <w:pPr>
      <w:adjustRightInd w:val="0"/>
      <w:spacing w:line="560" w:lineRule="exact"/>
      <w:ind w:firstLine="624"/>
      <w:jc w:val="left"/>
      <w:textAlignment w:val="baseline"/>
    </w:pPr>
    <w:rPr>
      <w:snapToGrid/>
    </w:rPr>
  </w:style>
  <w:style w:type="paragraph" w:styleId="4">
    <w:name w:val="annotation text"/>
    <w:basedOn w:val="1"/>
    <w:link w:val="19"/>
    <w:qFormat/>
    <w:uiPriority w:val="0"/>
    <w:pPr>
      <w:jc w:val="left"/>
    </w:pPr>
  </w:style>
  <w:style w:type="paragraph" w:styleId="5">
    <w:name w:val="Body Text Indent"/>
    <w:basedOn w:val="1"/>
    <w:qFormat/>
    <w:uiPriority w:val="0"/>
    <w:pPr>
      <w:ind w:firstLine="576"/>
    </w:pPr>
    <w:rPr>
      <w:rFonts w:ascii="仿宋_GB2312" w:eastAsia="仿宋_GB2312"/>
      <w:sz w:val="28"/>
      <w:szCs w:val="24"/>
    </w:rPr>
  </w:style>
  <w:style w:type="paragraph" w:styleId="6">
    <w:name w:val="Plain Text"/>
    <w:basedOn w:val="1"/>
    <w:link w:val="20"/>
    <w:qFormat/>
    <w:uiPriority w:val="99"/>
    <w:rPr>
      <w:rFonts w:ascii="宋体" w:hAnsi="Courier New"/>
    </w:rPr>
  </w:style>
  <w:style w:type="paragraph" w:styleId="7">
    <w:name w:val="Date"/>
    <w:basedOn w:val="1"/>
    <w:next w:val="1"/>
    <w:qFormat/>
    <w:uiPriority w:val="0"/>
    <w:pPr>
      <w:adjustRightInd w:val="0"/>
      <w:spacing w:line="312" w:lineRule="atLeast"/>
      <w:jc w:val="right"/>
      <w:textAlignment w:val="baseline"/>
    </w:pPr>
    <w:rPr>
      <w:kern w:val="0"/>
    </w:rPr>
  </w:style>
  <w:style w:type="paragraph" w:styleId="8">
    <w:name w:val="Balloon Text"/>
    <w:basedOn w:val="1"/>
    <w:semiHidden/>
    <w:qFormat/>
    <w:uiPriority w:val="0"/>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23"/>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Classic 1"/>
    <w:basedOn w:val="13"/>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character" w:customStyle="1" w:styleId="19">
    <w:name w:val="批注文字 字符"/>
    <w:link w:val="4"/>
    <w:qFormat/>
    <w:uiPriority w:val="0"/>
    <w:rPr>
      <w:kern w:val="2"/>
      <w:sz w:val="21"/>
    </w:rPr>
  </w:style>
  <w:style w:type="character" w:customStyle="1" w:styleId="20">
    <w:name w:val="纯文本 字符"/>
    <w:link w:val="6"/>
    <w:qFormat/>
    <w:uiPriority w:val="99"/>
    <w:rPr>
      <w:rFonts w:ascii="宋体" w:hAnsi="Courier New"/>
      <w:kern w:val="2"/>
      <w:sz w:val="21"/>
    </w:rPr>
  </w:style>
  <w:style w:type="character" w:customStyle="1" w:styleId="21">
    <w:name w:val="页脚 字符"/>
    <w:link w:val="9"/>
    <w:qFormat/>
    <w:uiPriority w:val="0"/>
    <w:rPr>
      <w:kern w:val="2"/>
      <w:sz w:val="18"/>
      <w:szCs w:val="18"/>
    </w:rPr>
  </w:style>
  <w:style w:type="character" w:customStyle="1" w:styleId="22">
    <w:name w:val="页眉 字符"/>
    <w:link w:val="10"/>
    <w:qFormat/>
    <w:uiPriority w:val="0"/>
    <w:rPr>
      <w:kern w:val="2"/>
      <w:sz w:val="18"/>
      <w:szCs w:val="18"/>
    </w:rPr>
  </w:style>
  <w:style w:type="character" w:customStyle="1" w:styleId="23">
    <w:name w:val="批注主题 字符"/>
    <w:link w:val="12"/>
    <w:qFormat/>
    <w:uiPriority w:val="0"/>
    <w:rPr>
      <w:b/>
      <w:bCs/>
      <w:kern w:val="2"/>
      <w:sz w:val="21"/>
    </w:rPr>
  </w:style>
  <w:style w:type="paragraph" w:customStyle="1" w:styleId="24">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5">
    <w:name w:val="Char Char Char Char Char Char Char Char Char"/>
    <w:basedOn w:val="1"/>
    <w:qFormat/>
    <w:uiPriority w:val="0"/>
    <w:pPr>
      <w:numPr>
        <w:ilvl w:val="0"/>
        <w:numId w:val="1"/>
      </w:numPr>
    </w:pPr>
    <w:rPr>
      <w:sz w:val="24"/>
      <w:szCs w:val="24"/>
    </w:rPr>
  </w:style>
  <w:style w:type="paragraph" w:customStyle="1" w:styleId="26">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7">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8">
    <w:name w:val="fontstyle01"/>
    <w:qFormat/>
    <w:uiPriority w:val="0"/>
    <w:rPr>
      <w:rFonts w:hint="eastAsia" w:ascii="宋体" w:hAnsi="宋体" w:eastAsia="宋体"/>
      <w:color w:val="000000"/>
      <w:sz w:val="24"/>
      <w:szCs w:val="24"/>
    </w:rPr>
  </w:style>
  <w:style w:type="paragraph" w:customStyle="1" w:styleId="29">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30">
    <w:name w:val="CM10"/>
    <w:basedOn w:val="27"/>
    <w:next w:val="27"/>
    <w:qFormat/>
    <w:uiPriority w:val="0"/>
    <w:pPr>
      <w:spacing w:after="723"/>
    </w:pPr>
    <w:rPr>
      <w:rFonts w:ascii="黑体" w:hAnsi="Times New Roman" w:eastAsia="黑体" w:cs="Times New Roman"/>
      <w:color w:val="auto"/>
    </w:rPr>
  </w:style>
  <w:style w:type="paragraph" w:styleId="31">
    <w:name w:val="List Paragraph"/>
    <w:basedOn w:val="1"/>
    <w:qFormat/>
    <w:uiPriority w:val="34"/>
    <w:pPr>
      <w:ind w:firstLine="420" w:firstLineChars="200"/>
    </w:pPr>
  </w:style>
  <w:style w:type="paragraph" w:customStyle="1" w:styleId="32">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107</Words>
  <Characters>611</Characters>
  <Lines>5</Lines>
  <Paragraphs>1</Paragraphs>
  <TotalTime>0</TotalTime>
  <ScaleCrop>false</ScaleCrop>
  <LinksUpToDate>false</LinksUpToDate>
  <CharactersWithSpaces>717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2025-04-27T12:06:02Z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426E3178421044E48DCDE37279813C89_13</vt:lpwstr>
  </property>
</Properties>
</file>